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Theme="majorHAnsi" w:eastAsia="Arial" w:hAnsiTheme="majorHAnsi"/>
          <w:b/>
        </w:rPr>
      </w:pPr>
      <w:r>
        <w:rPr>
          <w:rFonts w:asciiTheme="majorHAnsi" w:eastAsia="Arial" w:hAnsiTheme="majorHAnsi"/>
          <w:b/>
        </w:rPr>
        <w:t>TERMO DE EDITAL</w:t>
      </w:r>
    </w:p>
    <w:p>
      <w:pPr>
        <w:jc w:val="center"/>
        <w:rPr>
          <w:rFonts w:asciiTheme="majorHAnsi" w:eastAsia="Arial" w:hAnsiTheme="majorHAnsi"/>
          <w:b/>
        </w:rPr>
      </w:pPr>
      <w:r>
        <w:rPr>
          <w:rFonts w:asciiTheme="majorHAnsi" w:eastAsia="Arial" w:hAnsiTheme="majorHAnsi"/>
          <w:b/>
        </w:rPr>
        <w:t>PREGÃO ELETRÔNICO Nº 90019/2025</w:t>
      </w:r>
    </w:p>
    <w:tbl>
      <w:tblPr>
        <w:tblStyle w:val="a"/>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16"/>
          <w:jc w:val="center"/>
        </w:trPr>
        <w:tc>
          <w:tcPr>
            <w:tcW w:w="10057" w:type="dxa"/>
            <w:shd w:val="clear" w:color="auto" w:fill="F2F2F2"/>
            <w:vAlign w:val="center"/>
          </w:tcPr>
          <w:p>
            <w:pPr>
              <w:jc w:val="center"/>
              <w:rPr>
                <w:rFonts w:asciiTheme="majorHAnsi" w:eastAsia="Arial" w:hAnsiTheme="majorHAnsi"/>
                <w:b/>
                <w:sz w:val="22"/>
                <w:szCs w:val="22"/>
                <w:lang w:val="pt-BR"/>
              </w:rPr>
            </w:pPr>
            <w:r>
              <w:rPr>
                <w:rFonts w:asciiTheme="majorHAnsi" w:eastAsia="Arial" w:hAnsiTheme="majorHAnsi"/>
                <w:b/>
                <w:color w:val="000000"/>
                <w:sz w:val="22"/>
                <w:szCs w:val="22"/>
                <w:lang w:val="pt-BR"/>
              </w:rPr>
              <w:t>PARTE ESPECÍFICA (QUADRO DE RESUMO)</w:t>
            </w:r>
          </w:p>
        </w:tc>
      </w:tr>
    </w:tbl>
    <w:p>
      <w:pPr>
        <w:ind w:left="68"/>
        <w:jc w:val="center"/>
        <w:rPr>
          <w:rFonts w:asciiTheme="majorHAnsi" w:eastAsia="Arial" w:hAnsiTheme="majorHAnsi"/>
          <w:sz w:val="18"/>
          <w:szCs w:val="18"/>
        </w:rPr>
      </w:pPr>
    </w:p>
    <w:tbl>
      <w:tblPr>
        <w:tblStyle w:val="a0"/>
        <w:tblW w:w="10062"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717"/>
        <w:gridCol w:w="1418"/>
        <w:gridCol w:w="1417"/>
        <w:gridCol w:w="2126"/>
        <w:gridCol w:w="1843"/>
        <w:gridCol w:w="1541"/>
      </w:tblGrid>
      <w:tr>
        <w:trPr>
          <w:trHeight w:val="228"/>
          <w:jc w:val="center"/>
        </w:trPr>
        <w:tc>
          <w:tcPr>
            <w:tcW w:w="1717"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1.MODALIDADE</w:t>
            </w:r>
          </w:p>
        </w:tc>
        <w:tc>
          <w:tcPr>
            <w:tcW w:w="1418"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2.FORMATO</w:t>
            </w:r>
          </w:p>
        </w:tc>
        <w:tc>
          <w:tcPr>
            <w:tcW w:w="1417"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3.Nº DO PROCESSO</w:t>
            </w:r>
          </w:p>
        </w:tc>
        <w:tc>
          <w:tcPr>
            <w:tcW w:w="2126"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4.ENDEREÇO/LOCAL DA DISPUTA:</w:t>
            </w:r>
          </w:p>
        </w:tc>
        <w:tc>
          <w:tcPr>
            <w:tcW w:w="1843"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5.NÚMERO NO “COMPRAS GOV”:</w:t>
            </w:r>
          </w:p>
        </w:tc>
        <w:tc>
          <w:tcPr>
            <w:tcW w:w="1541"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6. NÚMERO DA UASG</w:t>
            </w:r>
          </w:p>
        </w:tc>
      </w:tr>
      <w:tr>
        <w:trPr>
          <w:trHeight w:val="525"/>
          <w:jc w:val="center"/>
        </w:trPr>
        <w:tc>
          <w:tcPr>
            <w:tcW w:w="1717"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PREGÃO</w:t>
            </w:r>
          </w:p>
        </w:tc>
        <w:tc>
          <w:tcPr>
            <w:tcW w:w="1418" w:type="dxa"/>
            <w:vAlign w:val="center"/>
          </w:tcPr>
          <w:p>
            <w:pPr>
              <w:jc w:val="center"/>
              <w:rPr>
                <w:rFonts w:asciiTheme="majorHAnsi" w:eastAsia="Arial" w:hAnsiTheme="majorHAnsi"/>
                <w:color w:val="000000"/>
                <w:sz w:val="18"/>
                <w:szCs w:val="18"/>
                <w:lang w:val="pt-BR"/>
              </w:rPr>
            </w:pPr>
            <w:r>
              <w:rPr>
                <w:rFonts w:asciiTheme="majorHAnsi" w:eastAsia="Arial" w:hAnsiTheme="majorHAnsi"/>
                <w:sz w:val="18"/>
                <w:szCs w:val="18"/>
                <w:lang w:val="pt-BR"/>
              </w:rPr>
              <w:t>ELETRÔNICO</w:t>
            </w:r>
          </w:p>
        </w:tc>
        <w:tc>
          <w:tcPr>
            <w:tcW w:w="1417" w:type="dxa"/>
            <w:vAlign w:val="center"/>
          </w:tcPr>
          <w:p>
            <w:pPr>
              <w:jc w:val="center"/>
              <w:rPr>
                <w:rFonts w:asciiTheme="majorHAnsi" w:eastAsia="Arial" w:hAnsiTheme="majorHAnsi"/>
                <w:sz w:val="18"/>
                <w:szCs w:val="18"/>
                <w:lang w:val="pt-BR"/>
              </w:rPr>
            </w:pPr>
            <w:r>
              <w:rPr>
                <w:rFonts w:asciiTheme="majorHAnsi" w:eastAsia="Arial" w:hAnsiTheme="majorHAnsi"/>
                <w:color w:val="000000"/>
                <w:sz w:val="18"/>
                <w:szCs w:val="18"/>
                <w:lang w:val="pt-BR"/>
              </w:rPr>
              <w:t>90019/2025</w:t>
            </w:r>
          </w:p>
        </w:tc>
        <w:tc>
          <w:tcPr>
            <w:tcW w:w="2126" w:type="dxa"/>
            <w:vAlign w:val="center"/>
          </w:tcPr>
          <w:p>
            <w:pPr>
              <w:jc w:val="center"/>
              <w:rPr>
                <w:rFonts w:asciiTheme="majorHAnsi" w:eastAsia="Arial" w:hAnsiTheme="majorHAnsi"/>
                <w:sz w:val="18"/>
                <w:szCs w:val="18"/>
              </w:rPr>
            </w:pPr>
            <w:r>
              <w:rPr>
                <w:rFonts w:asciiTheme="majorHAnsi" w:eastAsia="Arial" w:hAnsiTheme="majorHAnsi"/>
                <w:sz w:val="18"/>
                <w:szCs w:val="18"/>
              </w:rPr>
              <w:t>www.compras.gov.br</w:t>
            </w:r>
          </w:p>
          <w:p>
            <w:pPr>
              <w:jc w:val="center"/>
              <w:rPr>
                <w:rFonts w:asciiTheme="majorHAnsi" w:eastAsia="Arial" w:hAnsiTheme="majorHAnsi"/>
                <w:sz w:val="18"/>
                <w:szCs w:val="18"/>
              </w:rPr>
            </w:pPr>
            <w:r>
              <w:rPr>
                <w:rFonts w:asciiTheme="majorHAnsi" w:eastAsia="Arial" w:hAnsiTheme="majorHAnsi"/>
                <w:sz w:val="18"/>
                <w:szCs w:val="18"/>
              </w:rPr>
              <w:t>(Compras Gov)</w:t>
            </w:r>
          </w:p>
        </w:tc>
        <w:tc>
          <w:tcPr>
            <w:tcW w:w="1843"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20019/2025</w:t>
            </w:r>
          </w:p>
        </w:tc>
        <w:tc>
          <w:tcPr>
            <w:tcW w:w="1541" w:type="dxa"/>
            <w:vAlign w:val="center"/>
          </w:tcPr>
          <w:p>
            <w:pPr>
              <w:jc w:val="center"/>
              <w:rPr>
                <w:rFonts w:asciiTheme="majorHAnsi" w:eastAsia="Arial" w:hAnsiTheme="majorHAnsi"/>
                <w:sz w:val="18"/>
                <w:szCs w:val="18"/>
                <w:highlight w:val="yellow"/>
                <w:lang w:val="pt-BR"/>
              </w:rPr>
            </w:pPr>
            <w:r>
              <w:rPr>
                <w:rFonts w:asciiTheme="majorHAnsi" w:eastAsia="Arial" w:hAnsiTheme="majorHAnsi"/>
                <w:sz w:val="18"/>
                <w:szCs w:val="18"/>
                <w:lang w:val="pt-BR"/>
              </w:rPr>
              <w:t>981263</w:t>
            </w:r>
          </w:p>
        </w:tc>
      </w:tr>
    </w:tbl>
    <w:p>
      <w:pPr>
        <w:ind w:left="68"/>
        <w:jc w:val="center"/>
        <w:rPr>
          <w:rFonts w:asciiTheme="majorHAnsi" w:eastAsia="Arial" w:hAnsiTheme="majorHAnsi"/>
          <w:sz w:val="18"/>
          <w:szCs w:val="18"/>
        </w:rPr>
      </w:pPr>
    </w:p>
    <w:tbl>
      <w:tblPr>
        <w:tblStyle w:val="a1"/>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315"/>
          <w:jc w:val="center"/>
        </w:trPr>
        <w:tc>
          <w:tcPr>
            <w:tcW w:w="10057" w:type="dxa"/>
            <w:shd w:val="clear" w:color="auto" w:fill="F2F2F2"/>
            <w:vAlign w:val="center"/>
          </w:tcPr>
          <w:p>
            <w:pPr>
              <w:rPr>
                <w:rFonts w:asciiTheme="majorHAnsi" w:eastAsia="Arial" w:hAnsiTheme="majorHAnsi"/>
                <w:b/>
                <w:sz w:val="18"/>
                <w:szCs w:val="18"/>
                <w:lang w:val="pt-BR"/>
              </w:rPr>
            </w:pPr>
            <w:r>
              <w:rPr>
                <w:rFonts w:asciiTheme="majorHAnsi" w:eastAsia="Arial" w:hAnsiTheme="majorHAnsi"/>
                <w:b/>
                <w:sz w:val="18"/>
                <w:szCs w:val="18"/>
                <w:lang w:val="pt-BR"/>
              </w:rPr>
              <w:t>7.OBETO:</w:t>
            </w:r>
          </w:p>
        </w:tc>
      </w:tr>
      <w:tr>
        <w:trPr>
          <w:trHeight w:val="829"/>
          <w:jc w:val="center"/>
        </w:trPr>
        <w:tc>
          <w:tcPr>
            <w:tcW w:w="10057" w:type="dxa"/>
            <w:vAlign w:val="center"/>
          </w:tcPr>
          <w:p>
            <w:pPr>
              <w:jc w:val="both"/>
              <w:rPr>
                <w:rFonts w:asciiTheme="majorHAnsi" w:eastAsia="Arial" w:hAnsiTheme="majorHAnsi"/>
                <w:sz w:val="18"/>
                <w:szCs w:val="18"/>
                <w:lang w:val="pt-BR"/>
              </w:rPr>
            </w:pPr>
            <w:bookmarkStart w:id="0" w:name="_heading=h.30j0zll" w:colFirst="0" w:colLast="0"/>
            <w:bookmarkEnd w:id="0"/>
            <w:r>
              <w:rPr>
                <w:rFonts w:asciiTheme="majorHAnsi" w:eastAsia="Arial" w:hAnsiTheme="majorHAnsi"/>
                <w:sz w:val="18"/>
                <w:szCs w:val="18"/>
                <w:lang w:val="pt-BR"/>
              </w:rPr>
              <w:t>AQUISIÇÃO DE VEÍCULOS (ZERO QUILÔMETRO), DESTINADOS AO ATENDIMENTO DAS NECESSIDADES DAS DIVERSAS SECRETARIAS DO MUNICÍPIO DE MIRAÍMA/CE.</w:t>
            </w:r>
          </w:p>
        </w:tc>
      </w:tr>
    </w:tbl>
    <w:p>
      <w:pPr>
        <w:ind w:left="68"/>
        <w:jc w:val="center"/>
        <w:rPr>
          <w:rFonts w:asciiTheme="majorHAnsi" w:eastAsia="Arial" w:hAnsiTheme="majorHAnsi"/>
          <w:sz w:val="18"/>
          <w:szCs w:val="18"/>
        </w:rPr>
      </w:pPr>
    </w:p>
    <w:tbl>
      <w:tblPr>
        <w:tblStyle w:val="a2"/>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2518"/>
        <w:gridCol w:w="1559"/>
        <w:gridCol w:w="1727"/>
        <w:gridCol w:w="1985"/>
        <w:gridCol w:w="2268"/>
      </w:tblGrid>
      <w:tr>
        <w:trPr>
          <w:trHeight w:val="291"/>
          <w:jc w:val="center"/>
        </w:trPr>
        <w:tc>
          <w:tcPr>
            <w:tcW w:w="2518"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8.DATA DA ABERTURA:</w:t>
            </w:r>
          </w:p>
        </w:tc>
        <w:tc>
          <w:tcPr>
            <w:tcW w:w="1559"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9.HORA DA ABERTURA</w:t>
            </w:r>
          </w:p>
        </w:tc>
        <w:tc>
          <w:tcPr>
            <w:tcW w:w="1727"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10.TIPO:</w:t>
            </w:r>
          </w:p>
        </w:tc>
        <w:tc>
          <w:tcPr>
            <w:tcW w:w="1985"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11.CRITÉRIO DE JULGAMENTO:</w:t>
            </w:r>
          </w:p>
        </w:tc>
        <w:tc>
          <w:tcPr>
            <w:tcW w:w="2268" w:type="dxa"/>
            <w:shd w:val="clear" w:color="auto" w:fill="F2F2F2"/>
            <w:vAlign w:val="center"/>
          </w:tcPr>
          <w:p>
            <w:pPr>
              <w:jc w:val="center"/>
              <w:rPr>
                <w:rFonts w:asciiTheme="majorHAnsi" w:eastAsia="Arial" w:hAnsiTheme="majorHAnsi"/>
                <w:b/>
                <w:sz w:val="18"/>
                <w:szCs w:val="18"/>
                <w:lang w:val="pt-BR"/>
              </w:rPr>
            </w:pPr>
            <w:r>
              <w:rPr>
                <w:rFonts w:asciiTheme="majorHAnsi" w:eastAsia="Arial" w:hAnsiTheme="majorHAnsi"/>
                <w:b/>
                <w:sz w:val="18"/>
                <w:szCs w:val="18"/>
                <w:lang w:val="pt-BR"/>
              </w:rPr>
              <w:t>12.MODO DE DISPUTA</w:t>
            </w:r>
          </w:p>
        </w:tc>
      </w:tr>
      <w:tr>
        <w:trPr>
          <w:trHeight w:val="291"/>
          <w:jc w:val="center"/>
        </w:trPr>
        <w:tc>
          <w:tcPr>
            <w:tcW w:w="2518" w:type="dxa"/>
            <w:shd w:val="clear" w:color="auto" w:fill="auto"/>
            <w:vAlign w:val="center"/>
          </w:tcPr>
          <w:p>
            <w:pPr>
              <w:jc w:val="center"/>
              <w:rPr>
                <w:rFonts w:asciiTheme="majorHAnsi" w:eastAsia="Arial" w:hAnsiTheme="majorHAnsi"/>
                <w:b/>
                <w:sz w:val="18"/>
                <w:szCs w:val="18"/>
                <w:lang w:val="pt-BR"/>
              </w:rPr>
            </w:pPr>
            <w:r>
              <w:rPr>
                <w:rFonts w:asciiTheme="majorHAnsi" w:eastAsia="Arial" w:hAnsiTheme="majorHAnsi"/>
                <w:sz w:val="18"/>
                <w:szCs w:val="18"/>
                <w:lang w:val="pt-BR"/>
              </w:rPr>
              <w:t>23 DE JULHO DE 2025</w:t>
            </w:r>
          </w:p>
        </w:tc>
        <w:tc>
          <w:tcPr>
            <w:tcW w:w="1559" w:type="dxa"/>
            <w:shd w:val="clear" w:color="auto" w:fill="auto"/>
            <w:vAlign w:val="center"/>
          </w:tcPr>
          <w:p>
            <w:pPr>
              <w:jc w:val="center"/>
              <w:rPr>
                <w:rFonts w:asciiTheme="majorHAnsi" w:eastAsia="Arial" w:hAnsiTheme="majorHAnsi"/>
                <w:b/>
                <w:sz w:val="18"/>
                <w:szCs w:val="18"/>
                <w:lang w:val="pt-BR"/>
              </w:rPr>
            </w:pPr>
            <w:r>
              <w:rPr>
                <w:rFonts w:asciiTheme="majorHAnsi" w:eastAsia="Arial" w:hAnsiTheme="majorHAnsi"/>
                <w:sz w:val="18"/>
                <w:szCs w:val="18"/>
                <w:lang w:val="pt-BR"/>
              </w:rPr>
              <w:t>09:00H</w:t>
            </w:r>
          </w:p>
        </w:tc>
        <w:tc>
          <w:tcPr>
            <w:tcW w:w="1727" w:type="dxa"/>
            <w:shd w:val="clear" w:color="auto" w:fill="auto"/>
            <w:vAlign w:val="center"/>
          </w:tcPr>
          <w:p>
            <w:pPr>
              <w:jc w:val="center"/>
              <w:rPr>
                <w:rFonts w:asciiTheme="majorHAnsi" w:eastAsia="Arial" w:hAnsiTheme="majorHAnsi"/>
                <w:b/>
                <w:sz w:val="18"/>
                <w:szCs w:val="18"/>
                <w:lang w:val="pt-BR"/>
              </w:rPr>
            </w:pPr>
            <w:r>
              <w:rPr>
                <w:rFonts w:asciiTheme="majorHAnsi" w:eastAsia="Arial" w:hAnsiTheme="majorHAnsi"/>
                <w:sz w:val="18"/>
                <w:szCs w:val="18"/>
                <w:lang w:val="pt-BR"/>
              </w:rPr>
              <w:t>MENOR PREÇO</w:t>
            </w:r>
          </w:p>
        </w:tc>
        <w:tc>
          <w:tcPr>
            <w:tcW w:w="1985" w:type="dxa"/>
            <w:shd w:val="clear" w:color="auto" w:fill="auto"/>
            <w:vAlign w:val="center"/>
          </w:tcPr>
          <w:p>
            <w:pPr>
              <w:jc w:val="center"/>
              <w:rPr>
                <w:rFonts w:asciiTheme="majorHAnsi" w:eastAsia="Arial" w:hAnsiTheme="majorHAnsi"/>
                <w:b/>
                <w:sz w:val="18"/>
                <w:szCs w:val="18"/>
                <w:lang w:val="pt-BR"/>
              </w:rPr>
            </w:pPr>
            <w:r>
              <w:rPr>
                <w:rFonts w:asciiTheme="majorHAnsi" w:eastAsia="Arial" w:hAnsiTheme="majorHAnsi"/>
                <w:sz w:val="18"/>
                <w:szCs w:val="18"/>
                <w:lang w:val="pt-BR"/>
              </w:rPr>
              <w:t>ITEM</w:t>
            </w:r>
          </w:p>
        </w:tc>
        <w:tc>
          <w:tcPr>
            <w:tcW w:w="2268" w:type="dxa"/>
            <w:shd w:val="clear" w:color="auto" w:fill="auto"/>
            <w:vAlign w:val="center"/>
          </w:tcPr>
          <w:p>
            <w:pPr>
              <w:jc w:val="center"/>
              <w:rPr>
                <w:rFonts w:asciiTheme="majorHAnsi" w:eastAsia="Arial" w:hAnsiTheme="majorHAnsi"/>
                <w:b/>
                <w:sz w:val="18"/>
                <w:szCs w:val="18"/>
                <w:lang w:val="pt-BR"/>
              </w:rPr>
            </w:pPr>
            <w:r>
              <w:rPr>
                <w:rFonts w:asciiTheme="majorHAnsi" w:eastAsia="Arial" w:hAnsiTheme="majorHAnsi"/>
                <w:sz w:val="18"/>
                <w:szCs w:val="18"/>
                <w:lang w:val="pt-BR"/>
              </w:rPr>
              <w:t>ABERTO</w:t>
            </w:r>
          </w:p>
        </w:tc>
      </w:tr>
      <w:tr>
        <w:trPr>
          <w:trHeight w:val="291"/>
          <w:jc w:val="center"/>
        </w:trPr>
        <w:tc>
          <w:tcPr>
            <w:tcW w:w="10057" w:type="dxa"/>
            <w:gridSpan w:val="5"/>
            <w:shd w:val="clear" w:color="auto" w:fill="auto"/>
            <w:vAlign w:val="center"/>
          </w:tcPr>
          <w:p>
            <w:pPr>
              <w:rPr>
                <w:rFonts w:asciiTheme="majorHAnsi" w:eastAsia="Arial" w:hAnsiTheme="majorHAnsi"/>
                <w:sz w:val="18"/>
                <w:szCs w:val="18"/>
                <w:lang w:val="pt-BR"/>
              </w:rPr>
            </w:pPr>
            <w:r>
              <w:rPr>
                <w:rFonts w:asciiTheme="majorHAnsi" w:eastAsia="Arial" w:hAnsiTheme="majorHAnsi"/>
                <w:sz w:val="18"/>
                <w:szCs w:val="18"/>
                <w:lang w:val="pt-BR"/>
              </w:rPr>
              <w:t>Referência de Tempo: para todas as referências de tempo utilizadas pelo sistema será observado o horário de Brasília/DF.</w:t>
            </w:r>
          </w:p>
        </w:tc>
      </w:tr>
    </w:tbl>
    <w:p>
      <w:pPr>
        <w:jc w:val="both"/>
        <w:rPr>
          <w:rFonts w:asciiTheme="majorHAnsi" w:eastAsia="Arial" w:hAnsiTheme="majorHAnsi"/>
          <w:sz w:val="18"/>
          <w:szCs w:val="18"/>
        </w:rPr>
      </w:pPr>
    </w:p>
    <w:tbl>
      <w:tblPr>
        <w:tblStyle w:val="a3"/>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98"/>
          <w:jc w:val="center"/>
        </w:trPr>
        <w:tc>
          <w:tcPr>
            <w:tcW w:w="10057" w:type="dxa"/>
            <w:shd w:val="clear" w:color="auto" w:fill="F2F2F2"/>
            <w:vAlign w:val="center"/>
          </w:tcPr>
          <w:p>
            <w:pPr>
              <w:rPr>
                <w:rFonts w:asciiTheme="majorHAnsi" w:eastAsia="Arial" w:hAnsiTheme="majorHAnsi"/>
                <w:b/>
                <w:sz w:val="18"/>
                <w:szCs w:val="18"/>
                <w:lang w:val="pt-BR"/>
              </w:rPr>
            </w:pPr>
            <w:r>
              <w:rPr>
                <w:rFonts w:asciiTheme="majorHAnsi" w:eastAsia="Arial" w:hAnsiTheme="majorHAnsi"/>
                <w:b/>
                <w:sz w:val="18"/>
                <w:szCs w:val="18"/>
                <w:lang w:val="pt-BR"/>
              </w:rPr>
              <w:t>13.ÓRGÃO:</w:t>
            </w:r>
          </w:p>
        </w:tc>
      </w:tr>
      <w:tr>
        <w:trPr>
          <w:trHeight w:val="411"/>
          <w:jc w:val="center"/>
        </w:trPr>
        <w:tc>
          <w:tcPr>
            <w:tcW w:w="10057" w:type="dxa"/>
            <w:vAlign w:val="center"/>
          </w:tcPr>
          <w:p>
            <w:pPr>
              <w:widowControl/>
              <w:pBdr>
                <w:top w:val="nil"/>
                <w:left w:val="nil"/>
                <w:bottom w:val="nil"/>
                <w:right w:val="nil"/>
                <w:between w:val="nil"/>
              </w:pBdr>
              <w:tabs>
                <w:tab w:val="left" w:pos="236"/>
              </w:tabs>
              <w:ind w:left="22"/>
              <w:rPr>
                <w:rFonts w:asciiTheme="majorHAnsi" w:eastAsia="Arial" w:hAnsiTheme="majorHAnsi"/>
                <w:color w:val="000000"/>
                <w:sz w:val="18"/>
                <w:szCs w:val="18"/>
                <w:lang w:val="pt-BR"/>
              </w:rPr>
            </w:pPr>
            <w:r>
              <w:rPr>
                <w:rFonts w:asciiTheme="majorHAnsi" w:eastAsia="Arial" w:hAnsiTheme="majorHAnsi"/>
                <w:color w:val="000000"/>
                <w:sz w:val="18"/>
                <w:szCs w:val="18"/>
                <w:lang w:val="pt-BR"/>
              </w:rPr>
              <w:t>Secretaria Municipal de Saúde</w:t>
            </w:r>
          </w:p>
          <w:p>
            <w:pPr>
              <w:widowControl/>
              <w:pBdr>
                <w:top w:val="nil"/>
                <w:left w:val="nil"/>
                <w:bottom w:val="nil"/>
                <w:right w:val="nil"/>
                <w:between w:val="nil"/>
              </w:pBdr>
              <w:tabs>
                <w:tab w:val="left" w:pos="236"/>
              </w:tabs>
              <w:ind w:left="22"/>
              <w:rPr>
                <w:rFonts w:asciiTheme="majorHAnsi" w:eastAsia="Arial" w:hAnsiTheme="majorHAnsi"/>
                <w:color w:val="000000"/>
                <w:sz w:val="18"/>
                <w:szCs w:val="18"/>
                <w:lang w:val="pt-BR"/>
              </w:rPr>
            </w:pPr>
            <w:r>
              <w:rPr>
                <w:rFonts w:asciiTheme="majorHAnsi" w:eastAsia="Arial" w:hAnsiTheme="majorHAnsi"/>
                <w:color w:val="000000"/>
                <w:sz w:val="18"/>
                <w:szCs w:val="18"/>
                <w:lang w:val="pt-BR"/>
              </w:rPr>
              <w:t>Secretaria Municipal de Trabalho e Assistência Social</w:t>
            </w:r>
          </w:p>
          <w:p>
            <w:pPr>
              <w:widowControl/>
              <w:pBdr>
                <w:top w:val="nil"/>
                <w:left w:val="nil"/>
                <w:bottom w:val="nil"/>
                <w:right w:val="nil"/>
                <w:between w:val="nil"/>
              </w:pBdr>
              <w:tabs>
                <w:tab w:val="left" w:pos="236"/>
              </w:tabs>
              <w:ind w:left="22"/>
              <w:rPr>
                <w:rFonts w:asciiTheme="majorHAnsi" w:eastAsia="Arial" w:hAnsiTheme="majorHAnsi"/>
                <w:color w:val="000000"/>
                <w:sz w:val="18"/>
                <w:szCs w:val="18"/>
                <w:lang w:val="pt-BR"/>
              </w:rPr>
            </w:pPr>
            <w:r>
              <w:rPr>
                <w:rFonts w:asciiTheme="majorHAnsi" w:eastAsia="Arial" w:hAnsiTheme="majorHAnsi"/>
                <w:color w:val="000000"/>
                <w:sz w:val="18"/>
                <w:szCs w:val="18"/>
                <w:lang w:val="pt-BR"/>
              </w:rPr>
              <w:t>Secretaria Municipal de Agricultura e meio Ambiente</w:t>
            </w:r>
          </w:p>
        </w:tc>
      </w:tr>
    </w:tbl>
    <w:p>
      <w:pPr>
        <w:jc w:val="both"/>
        <w:rPr>
          <w:rFonts w:asciiTheme="majorHAnsi" w:eastAsia="Arial" w:hAnsiTheme="majorHAnsi"/>
          <w:sz w:val="18"/>
          <w:szCs w:val="18"/>
        </w:rPr>
      </w:pPr>
    </w:p>
    <w:tbl>
      <w:tblPr>
        <w:tblStyle w:val="a4"/>
        <w:tblW w:w="10031"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3085"/>
        <w:gridCol w:w="2268"/>
        <w:gridCol w:w="2126"/>
        <w:gridCol w:w="2552"/>
      </w:tblGrid>
      <w:tr>
        <w:trPr>
          <w:jc w:val="center"/>
        </w:trPr>
        <w:tc>
          <w:tcPr>
            <w:tcW w:w="3085" w:type="dxa"/>
            <w:shd w:val="clear" w:color="auto" w:fill="F2F2F2"/>
            <w:vAlign w:val="center"/>
          </w:tcPr>
          <w:p>
            <w:pPr>
              <w:rPr>
                <w:rFonts w:asciiTheme="majorHAnsi" w:eastAsia="Arial" w:hAnsiTheme="majorHAnsi"/>
                <w:b/>
                <w:sz w:val="18"/>
                <w:szCs w:val="18"/>
                <w:lang w:val="pt-BR"/>
              </w:rPr>
            </w:pPr>
            <w:r>
              <w:rPr>
                <w:rFonts w:asciiTheme="majorHAnsi" w:eastAsia="Arial" w:hAnsiTheme="majorHAnsi"/>
                <w:b/>
                <w:sz w:val="18"/>
                <w:szCs w:val="18"/>
                <w:lang w:val="pt-BR"/>
              </w:rPr>
              <w:t>14.LICITAÇÃO EXCLUSIVA OU COM COTAS PARA ME E EPP?</w:t>
            </w:r>
          </w:p>
        </w:tc>
        <w:tc>
          <w:tcPr>
            <w:tcW w:w="2268" w:type="dxa"/>
            <w:shd w:val="clear" w:color="auto" w:fill="F2F2F2"/>
            <w:vAlign w:val="center"/>
          </w:tcPr>
          <w:p>
            <w:pPr>
              <w:jc w:val="both"/>
              <w:rPr>
                <w:rFonts w:asciiTheme="majorHAnsi" w:eastAsia="Arial" w:hAnsiTheme="majorHAnsi"/>
                <w:b/>
                <w:sz w:val="18"/>
                <w:szCs w:val="18"/>
                <w:lang w:val="pt-BR"/>
              </w:rPr>
            </w:pPr>
            <w:r>
              <w:rPr>
                <w:rFonts w:asciiTheme="majorHAnsi" w:eastAsia="Arial" w:hAnsiTheme="majorHAnsi"/>
                <w:b/>
                <w:sz w:val="18"/>
                <w:szCs w:val="18"/>
                <w:lang w:val="pt-BR"/>
              </w:rPr>
              <w:t>15.FORNECIMENTO:</w:t>
            </w:r>
          </w:p>
        </w:tc>
        <w:tc>
          <w:tcPr>
            <w:tcW w:w="2126" w:type="dxa"/>
            <w:shd w:val="clear" w:color="auto" w:fill="F2F2F2"/>
            <w:vAlign w:val="center"/>
          </w:tcPr>
          <w:p>
            <w:pPr>
              <w:jc w:val="both"/>
              <w:rPr>
                <w:rFonts w:asciiTheme="majorHAnsi" w:eastAsia="Arial" w:hAnsiTheme="majorHAnsi"/>
                <w:b/>
                <w:sz w:val="18"/>
                <w:szCs w:val="18"/>
                <w:lang w:val="pt-BR"/>
              </w:rPr>
            </w:pPr>
            <w:r>
              <w:rPr>
                <w:rFonts w:asciiTheme="majorHAnsi" w:eastAsia="Arial" w:hAnsiTheme="majorHAnsi"/>
                <w:b/>
                <w:sz w:val="18"/>
                <w:szCs w:val="18"/>
                <w:lang w:val="pt-BR"/>
              </w:rPr>
              <w:t>16. PRAZO PARA ENTREGA:</w:t>
            </w:r>
          </w:p>
        </w:tc>
        <w:tc>
          <w:tcPr>
            <w:tcW w:w="2552" w:type="dxa"/>
            <w:shd w:val="clear" w:color="auto" w:fill="F2F2F2"/>
            <w:vAlign w:val="center"/>
          </w:tcPr>
          <w:p>
            <w:pPr>
              <w:jc w:val="both"/>
              <w:rPr>
                <w:rFonts w:asciiTheme="majorHAnsi" w:eastAsia="Arial" w:hAnsiTheme="majorHAnsi"/>
                <w:b/>
                <w:sz w:val="18"/>
                <w:szCs w:val="18"/>
                <w:lang w:val="pt-BR"/>
              </w:rPr>
            </w:pPr>
            <w:r>
              <w:rPr>
                <w:rFonts w:asciiTheme="majorHAnsi" w:eastAsia="Arial" w:hAnsiTheme="majorHAnsi"/>
                <w:b/>
                <w:sz w:val="18"/>
                <w:szCs w:val="18"/>
                <w:lang w:val="pt-BR"/>
              </w:rPr>
              <w:t>17.POSSIBILIDADE DE AMOSTRAS?</w:t>
            </w:r>
          </w:p>
        </w:tc>
      </w:tr>
      <w:tr>
        <w:trPr>
          <w:trHeight w:val="393"/>
          <w:jc w:val="center"/>
        </w:trPr>
        <w:tc>
          <w:tcPr>
            <w:tcW w:w="3085"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SIM</w:t>
            </w:r>
          </w:p>
        </w:tc>
        <w:tc>
          <w:tcPr>
            <w:tcW w:w="2268"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ÚNICO</w:t>
            </w:r>
          </w:p>
        </w:tc>
        <w:tc>
          <w:tcPr>
            <w:tcW w:w="2126"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ATÉ 30 (TRINTA) DIAS</w:t>
            </w:r>
          </w:p>
        </w:tc>
        <w:tc>
          <w:tcPr>
            <w:tcW w:w="2552" w:type="dxa"/>
            <w:vAlign w:val="center"/>
          </w:tcPr>
          <w:p>
            <w:pPr>
              <w:jc w:val="center"/>
              <w:rPr>
                <w:rFonts w:asciiTheme="majorHAnsi" w:eastAsia="Arial" w:hAnsiTheme="majorHAnsi"/>
                <w:sz w:val="18"/>
                <w:szCs w:val="18"/>
                <w:lang w:val="pt-BR"/>
              </w:rPr>
            </w:pPr>
            <w:r>
              <w:rPr>
                <w:rFonts w:asciiTheme="majorHAnsi" w:eastAsia="Arial" w:hAnsiTheme="majorHAnsi"/>
                <w:sz w:val="18"/>
                <w:szCs w:val="18"/>
                <w:lang w:val="pt-BR"/>
              </w:rPr>
              <w:t>NÃO</w:t>
            </w:r>
          </w:p>
        </w:tc>
      </w:tr>
    </w:tbl>
    <w:p>
      <w:pPr>
        <w:jc w:val="both"/>
        <w:rPr>
          <w:rFonts w:asciiTheme="majorHAnsi" w:eastAsia="Arial" w:hAnsiTheme="majorHAnsi"/>
          <w:sz w:val="18"/>
          <w:szCs w:val="18"/>
        </w:rPr>
      </w:pPr>
    </w:p>
    <w:tbl>
      <w:tblPr>
        <w:tblStyle w:val="a5"/>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58"/>
          <w:jc w:val="center"/>
        </w:trPr>
        <w:tc>
          <w:tcPr>
            <w:tcW w:w="10057" w:type="dxa"/>
            <w:shd w:val="clear" w:color="auto" w:fill="F2F2F2"/>
            <w:vAlign w:val="center"/>
          </w:tcPr>
          <w:p>
            <w:pPr>
              <w:jc w:val="both"/>
              <w:rPr>
                <w:rFonts w:asciiTheme="majorHAnsi" w:eastAsia="Arial" w:hAnsiTheme="majorHAnsi"/>
                <w:b/>
                <w:sz w:val="18"/>
                <w:szCs w:val="18"/>
                <w:lang w:val="pt-BR"/>
              </w:rPr>
            </w:pPr>
            <w:r>
              <w:rPr>
                <w:rFonts w:asciiTheme="majorHAnsi" w:eastAsia="Arial" w:hAnsiTheme="majorHAnsi"/>
                <w:b/>
                <w:sz w:val="18"/>
                <w:szCs w:val="18"/>
                <w:lang w:val="pt-BR"/>
              </w:rPr>
              <w:t>18.DOS ATENDIMENTOS, PEDIDOS DE ESCLARECIMENTOS, IMPUGNAÇÕES, RECURSOS E VISTAS AO PROCESSO</w:t>
            </w:r>
          </w:p>
        </w:tc>
      </w:tr>
      <w:tr>
        <w:trPr>
          <w:trHeight w:val="479"/>
          <w:jc w:val="center"/>
        </w:trPr>
        <w:tc>
          <w:tcPr>
            <w:tcW w:w="10057" w:type="dxa"/>
            <w:vAlign w:val="center"/>
          </w:tcPr>
          <w:p>
            <w:pPr>
              <w:spacing w:line="276" w:lineRule="auto"/>
              <w:jc w:val="both"/>
              <w:rPr>
                <w:rFonts w:asciiTheme="majorHAnsi" w:eastAsia="Arial" w:hAnsiTheme="majorHAnsi"/>
                <w:sz w:val="18"/>
                <w:szCs w:val="18"/>
                <w:lang w:val="pt-BR"/>
              </w:rPr>
            </w:pPr>
            <w:r>
              <w:rPr>
                <w:rFonts w:asciiTheme="majorHAnsi" w:eastAsia="Arial" w:hAnsiTheme="majorHAnsi"/>
                <w:sz w:val="18"/>
                <w:szCs w:val="18"/>
                <w:lang w:val="pt-BR"/>
              </w:rPr>
              <w:t xml:space="preserve">Todos os </w:t>
            </w:r>
            <w:r>
              <w:rPr>
                <w:rFonts w:asciiTheme="majorHAnsi" w:eastAsia="Arial" w:hAnsiTheme="majorHAnsi"/>
                <w:b/>
                <w:sz w:val="18"/>
                <w:szCs w:val="18"/>
                <w:lang w:val="pt-BR"/>
              </w:rPr>
              <w:t>atendimentos</w:t>
            </w:r>
            <w:r>
              <w:rPr>
                <w:rFonts w:asciiTheme="majorHAnsi" w:eastAsia="Arial" w:hAnsiTheme="majorHAnsi"/>
                <w:sz w:val="18"/>
                <w:szCs w:val="18"/>
                <w:lang w:val="pt-BR"/>
              </w:rPr>
              <w:t xml:space="preserve"> e demais tratativas com o(a) Pregoeiro(a) serão realizados </w:t>
            </w:r>
            <w:r>
              <w:rPr>
                <w:rFonts w:asciiTheme="majorHAnsi" w:eastAsia="Arial" w:hAnsiTheme="majorHAnsi"/>
                <w:b/>
                <w:sz w:val="18"/>
                <w:szCs w:val="18"/>
                <w:lang w:val="pt-BR"/>
              </w:rPr>
              <w:t xml:space="preserve">exclusivamente </w:t>
            </w:r>
            <w:r>
              <w:rPr>
                <w:rFonts w:asciiTheme="majorHAnsi" w:eastAsia="Arial" w:hAnsiTheme="majorHAnsi"/>
                <w:sz w:val="18"/>
                <w:szCs w:val="18"/>
                <w:lang w:val="pt-BR"/>
              </w:rPr>
              <w:t xml:space="preserve">por meio virtual, mediante pedido formal a ser enviado através do e-mail: </w:t>
            </w:r>
            <w:r>
              <w:rPr>
                <w:rFonts w:asciiTheme="majorHAnsi" w:eastAsia="Arial" w:hAnsiTheme="majorHAnsi"/>
                <w:b/>
                <w:sz w:val="18"/>
                <w:szCs w:val="18"/>
                <w:lang w:val="pt-BR"/>
              </w:rPr>
              <w:t>licitacao@miraima.ce.gv.br</w:t>
            </w:r>
            <w:r>
              <w:rPr>
                <w:rFonts w:asciiTheme="majorHAnsi" w:eastAsia="Arial" w:hAnsiTheme="majorHAnsi"/>
                <w:sz w:val="18"/>
                <w:szCs w:val="18"/>
                <w:lang w:val="pt-BR"/>
              </w:rPr>
              <w:t xml:space="preserve">, assim como os </w:t>
            </w:r>
            <w:r>
              <w:rPr>
                <w:rFonts w:asciiTheme="majorHAnsi" w:eastAsia="Arial" w:hAnsiTheme="majorHAnsi"/>
                <w:b/>
                <w:sz w:val="18"/>
                <w:szCs w:val="18"/>
                <w:lang w:val="pt-BR"/>
              </w:rPr>
              <w:t xml:space="preserve">pedidos de esclarecimentos, impugnações, recursos e pedidos de vistas aos autos, </w:t>
            </w:r>
            <w:r>
              <w:rPr>
                <w:rFonts w:asciiTheme="majorHAnsi" w:eastAsia="Arial" w:hAnsiTheme="majorHAnsi"/>
                <w:sz w:val="18"/>
                <w:szCs w:val="18"/>
                <w:lang w:val="pt-BR"/>
              </w:rPr>
              <w:t>nos termos consignados no presente edital</w:t>
            </w:r>
            <w:r>
              <w:rPr>
                <w:rFonts w:asciiTheme="majorHAnsi" w:eastAsia="Arial" w:hAnsiTheme="majorHAnsi"/>
                <w:b/>
                <w:sz w:val="18"/>
                <w:szCs w:val="18"/>
                <w:lang w:val="pt-BR"/>
              </w:rPr>
              <w:t>.</w:t>
            </w:r>
          </w:p>
        </w:tc>
      </w:tr>
    </w:tbl>
    <w:p>
      <w:pPr>
        <w:jc w:val="both"/>
        <w:rPr>
          <w:rFonts w:asciiTheme="majorHAnsi" w:eastAsia="Arial" w:hAnsiTheme="majorHAnsi"/>
          <w:sz w:val="18"/>
          <w:szCs w:val="18"/>
        </w:rPr>
      </w:pPr>
    </w:p>
    <w:tbl>
      <w:tblPr>
        <w:tblStyle w:val="a6"/>
        <w:tblW w:w="10057"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10057"/>
      </w:tblGrid>
      <w:tr>
        <w:trPr>
          <w:trHeight w:val="258"/>
          <w:jc w:val="center"/>
        </w:trPr>
        <w:tc>
          <w:tcPr>
            <w:tcW w:w="10057" w:type="dxa"/>
            <w:shd w:val="clear" w:color="auto" w:fill="F2F2F2"/>
            <w:vAlign w:val="center"/>
          </w:tcPr>
          <w:p>
            <w:pPr>
              <w:jc w:val="both"/>
              <w:rPr>
                <w:rFonts w:asciiTheme="majorHAnsi" w:eastAsia="Arial" w:hAnsiTheme="majorHAnsi"/>
                <w:b/>
                <w:sz w:val="18"/>
                <w:szCs w:val="18"/>
                <w:lang w:val="pt-BR"/>
              </w:rPr>
            </w:pPr>
            <w:r>
              <w:rPr>
                <w:rFonts w:asciiTheme="majorHAnsi" w:eastAsia="Arial" w:hAnsiTheme="majorHAnsi"/>
                <w:b/>
                <w:sz w:val="18"/>
                <w:szCs w:val="18"/>
                <w:lang w:val="pt-BR"/>
              </w:rPr>
              <w:t>19.OBSERVAÇÕES IMPORTANTES E OBSERVÂNCIA OBRIGATÓRIA:</w:t>
            </w:r>
          </w:p>
        </w:tc>
      </w:tr>
      <w:tr>
        <w:trPr>
          <w:trHeight w:val="821"/>
          <w:jc w:val="center"/>
        </w:trPr>
        <w:tc>
          <w:tcPr>
            <w:tcW w:w="10057" w:type="dxa"/>
            <w:vAlign w:val="center"/>
          </w:tcPr>
          <w:p>
            <w:pPr>
              <w:widowControl/>
              <w:numPr>
                <w:ilvl w:val="0"/>
                <w:numId w:val="26"/>
              </w:numPr>
              <w:pBdr>
                <w:top w:val="nil"/>
                <w:left w:val="nil"/>
                <w:bottom w:val="nil"/>
                <w:right w:val="nil"/>
                <w:between w:val="nil"/>
              </w:pBdr>
              <w:tabs>
                <w:tab w:val="left" w:pos="306"/>
              </w:tabs>
              <w:spacing w:line="276" w:lineRule="auto"/>
              <w:ind w:left="0" w:firstLine="0"/>
              <w:jc w:val="both"/>
              <w:rPr>
                <w:rFonts w:asciiTheme="majorHAnsi" w:eastAsia="Arial" w:hAnsiTheme="majorHAnsi"/>
                <w:color w:val="000000"/>
                <w:sz w:val="18"/>
                <w:szCs w:val="18"/>
                <w:lang w:val="pt-BR"/>
              </w:rPr>
            </w:pPr>
            <w:r>
              <w:rPr>
                <w:rFonts w:asciiTheme="majorHAnsi" w:eastAsia="Arial" w:hAnsiTheme="majorHAnsi"/>
                <w:color w:val="000000"/>
                <w:sz w:val="18"/>
                <w:szCs w:val="18"/>
                <w:lang w:val="pt-BR"/>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widowControl/>
              <w:numPr>
                <w:ilvl w:val="0"/>
                <w:numId w:val="26"/>
              </w:numPr>
              <w:pBdr>
                <w:top w:val="nil"/>
                <w:left w:val="nil"/>
                <w:bottom w:val="nil"/>
                <w:right w:val="nil"/>
                <w:between w:val="nil"/>
              </w:pBdr>
              <w:tabs>
                <w:tab w:val="left" w:pos="306"/>
              </w:tabs>
              <w:spacing w:line="276" w:lineRule="auto"/>
              <w:ind w:left="0" w:firstLine="0"/>
              <w:jc w:val="both"/>
              <w:rPr>
                <w:rFonts w:asciiTheme="majorHAnsi" w:eastAsia="Arial" w:hAnsiTheme="majorHAnsi"/>
                <w:color w:val="000000"/>
                <w:sz w:val="18"/>
                <w:szCs w:val="18"/>
                <w:lang w:val="pt-BR"/>
              </w:rPr>
            </w:pPr>
            <w:r>
              <w:rPr>
                <w:rFonts w:asciiTheme="majorHAnsi" w:eastAsia="Arial" w:hAnsiTheme="majorHAnsi"/>
                <w:color w:val="000000"/>
                <w:sz w:val="18"/>
                <w:szCs w:val="18"/>
                <w:lang w:val="pt-BR"/>
              </w:rPr>
              <w:t>Existindo divergência entre as informações constantes da parte específica (quadro resumo) e dos demais campos do edital e seus anexos (parte geral), prevalecerão as informações constantes da parte específica.</w:t>
            </w:r>
          </w:p>
          <w:p>
            <w:pPr>
              <w:widowControl/>
              <w:numPr>
                <w:ilvl w:val="0"/>
                <w:numId w:val="26"/>
              </w:numPr>
              <w:pBdr>
                <w:top w:val="nil"/>
                <w:left w:val="nil"/>
                <w:bottom w:val="nil"/>
                <w:right w:val="nil"/>
                <w:between w:val="nil"/>
              </w:pBdr>
              <w:tabs>
                <w:tab w:val="left" w:pos="306"/>
              </w:tabs>
              <w:spacing w:line="276" w:lineRule="auto"/>
              <w:ind w:left="0" w:firstLine="0"/>
              <w:jc w:val="both"/>
              <w:rPr>
                <w:rFonts w:asciiTheme="majorHAnsi" w:eastAsia="Arial" w:hAnsiTheme="majorHAnsi"/>
                <w:color w:val="000000"/>
                <w:sz w:val="18"/>
                <w:szCs w:val="18"/>
                <w:lang w:val="pt-BR"/>
              </w:rPr>
            </w:pPr>
            <w:r>
              <w:rPr>
                <w:rFonts w:asciiTheme="majorHAnsi" w:eastAsia="Arial" w:hAnsiTheme="majorHAnsi"/>
                <w:color w:val="000000"/>
                <w:sz w:val="18"/>
                <w:szCs w:val="18"/>
                <w:lang w:val="pt-BR"/>
              </w:rPr>
              <w:t>Havendo discrepância entre os textos constantes do edital e seus ANEXOS, inclusive quanto a especificação dos produtos, unidades e demais detalhamentos ante aqueles constantes da plataforma “Compras Gov” prevalecerão as informações constantes do edital e seus ANEXOS.</w:t>
            </w:r>
          </w:p>
          <w:p>
            <w:pPr>
              <w:widowControl/>
              <w:numPr>
                <w:ilvl w:val="0"/>
                <w:numId w:val="26"/>
              </w:numPr>
              <w:pBdr>
                <w:top w:val="nil"/>
                <w:left w:val="nil"/>
                <w:bottom w:val="nil"/>
                <w:right w:val="nil"/>
                <w:between w:val="nil"/>
              </w:pBdr>
              <w:tabs>
                <w:tab w:val="left" w:pos="306"/>
              </w:tabs>
              <w:spacing w:line="276" w:lineRule="auto"/>
              <w:ind w:left="0" w:firstLine="0"/>
              <w:jc w:val="both"/>
              <w:rPr>
                <w:rFonts w:asciiTheme="majorHAnsi" w:eastAsia="Arial" w:hAnsiTheme="majorHAnsi"/>
                <w:color w:val="000000"/>
                <w:sz w:val="18"/>
                <w:szCs w:val="18"/>
                <w:lang w:val="pt-BR"/>
              </w:rPr>
            </w:pPr>
            <w:r>
              <w:rPr>
                <w:rFonts w:asciiTheme="majorHAnsi" w:eastAsia="Arial" w:hAnsiTheme="majorHAnsi"/>
                <w:color w:val="000000"/>
                <w:sz w:val="18"/>
                <w:szCs w:val="18"/>
                <w:lang w:val="pt-BR"/>
              </w:rPr>
              <w:t>Os Regulamentos de Licitações e Contratos da Prefeitura Municipal de Miraíma/CE, são parte integrante desse instrumento. Os regulamentos poderão ser obtido no seguinte endereço eletrônico www.miraima.ce.gov.br.</w:t>
            </w:r>
          </w:p>
        </w:tc>
      </w:tr>
    </w:tbl>
    <w:p>
      <w:pPr>
        <w:jc w:val="center"/>
        <w:rPr>
          <w:rFonts w:asciiTheme="majorHAnsi" w:eastAsia="Arial" w:hAnsiTheme="majorHAnsi"/>
          <w:b/>
          <w:sz w:val="18"/>
          <w:szCs w:val="18"/>
        </w:rPr>
      </w:pPr>
      <w:r>
        <w:rPr>
          <w:rFonts w:asciiTheme="majorHAnsi" w:eastAsia="Arial" w:hAnsiTheme="majorHAnsi"/>
          <w:sz w:val="18"/>
          <w:szCs w:val="18"/>
        </w:rPr>
        <w:tab/>
      </w:r>
    </w:p>
    <w:p>
      <w:pPr>
        <w:spacing w:after="200" w:line="276" w:lineRule="auto"/>
        <w:rPr>
          <w:rFonts w:asciiTheme="majorHAnsi" w:eastAsia="Arial" w:hAnsiTheme="majorHAnsi"/>
          <w:b/>
          <w:sz w:val="18"/>
          <w:szCs w:val="18"/>
        </w:rPr>
      </w:pPr>
      <w:r>
        <w:rPr>
          <w:rFonts w:asciiTheme="majorHAnsi" w:hAnsiTheme="majorHAnsi"/>
        </w:rPr>
        <w:br w:type="page"/>
      </w:r>
    </w:p>
    <w:p>
      <w:pPr>
        <w:spacing w:after="160" w:line="276" w:lineRule="auto"/>
        <w:jc w:val="center"/>
        <w:rPr>
          <w:rFonts w:asciiTheme="majorHAnsi" w:eastAsia="Arial" w:hAnsiTheme="majorHAnsi"/>
          <w:b/>
        </w:rPr>
      </w:pPr>
      <w:r>
        <w:rPr>
          <w:rFonts w:asciiTheme="majorHAnsi" w:eastAsia="Arial" w:hAnsiTheme="majorHAnsi"/>
          <w:b/>
        </w:rPr>
        <w:lastRenderedPageBreak/>
        <w:t>TERMO DE EDITAL</w:t>
      </w:r>
    </w:p>
    <w:p>
      <w:pPr>
        <w:jc w:val="center"/>
        <w:rPr>
          <w:rFonts w:asciiTheme="majorHAnsi" w:eastAsia="Arial" w:hAnsiTheme="majorHAnsi"/>
          <w:b/>
        </w:rPr>
      </w:pPr>
      <w:r>
        <w:rPr>
          <w:rFonts w:asciiTheme="majorHAnsi" w:eastAsia="Arial" w:hAnsiTheme="majorHAnsi"/>
          <w:b/>
        </w:rPr>
        <w:t>PREGÃO ELETRÔNICO Nº 90019/2025</w:t>
      </w:r>
    </w:p>
    <w:p>
      <w:pPr>
        <w:jc w:val="center"/>
        <w:rPr>
          <w:rFonts w:asciiTheme="majorHAnsi" w:eastAsia="Arial" w:hAnsiTheme="majorHAnsi"/>
        </w:rPr>
      </w:pPr>
    </w:p>
    <w:tbl>
      <w:tblPr>
        <w:tblStyle w:val="a7"/>
        <w:tblW w:w="9631" w:type="dxa"/>
        <w:jc w:val="center"/>
        <w:tblInd w:w="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400" w:firstRow="0" w:lastRow="0" w:firstColumn="0" w:lastColumn="0" w:noHBand="0" w:noVBand="1"/>
      </w:tblPr>
      <w:tblGrid>
        <w:gridCol w:w="9631"/>
      </w:tblGrid>
      <w:tr>
        <w:trPr>
          <w:trHeight w:val="216"/>
          <w:jc w:val="center"/>
        </w:trPr>
        <w:tc>
          <w:tcPr>
            <w:tcW w:w="9631" w:type="dxa"/>
            <w:shd w:val="clear" w:color="auto" w:fill="F2F2F2"/>
            <w:vAlign w:val="center"/>
          </w:tcPr>
          <w:p>
            <w:pPr>
              <w:jc w:val="center"/>
              <w:rPr>
                <w:rFonts w:asciiTheme="majorHAnsi" w:eastAsia="Arial" w:hAnsiTheme="majorHAnsi"/>
                <w:b/>
                <w:sz w:val="22"/>
                <w:szCs w:val="22"/>
                <w:lang w:val="pt-BR"/>
              </w:rPr>
            </w:pPr>
            <w:r>
              <w:rPr>
                <w:rFonts w:asciiTheme="majorHAnsi" w:eastAsia="Arial" w:hAnsiTheme="majorHAnsi"/>
                <w:b/>
                <w:color w:val="000000"/>
                <w:sz w:val="22"/>
                <w:szCs w:val="22"/>
                <w:lang w:val="pt-BR"/>
              </w:rPr>
              <w:t>PARTE GERAL</w:t>
            </w:r>
          </w:p>
        </w:tc>
      </w:tr>
    </w:tbl>
    <w:p>
      <w:pPr>
        <w:jc w:val="center"/>
        <w:rPr>
          <w:rFonts w:asciiTheme="majorHAnsi" w:eastAsia="Arial" w:hAnsiTheme="majorHAnsi"/>
          <w:sz w:val="19"/>
          <w:szCs w:val="19"/>
        </w:rPr>
      </w:pPr>
    </w:p>
    <w:p>
      <w:pPr>
        <w:jc w:val="center"/>
        <w:rPr>
          <w:rFonts w:asciiTheme="majorHAnsi" w:eastAsia="Arial" w:hAnsiTheme="majorHAnsi"/>
          <w:b/>
        </w:rPr>
      </w:pPr>
      <w:r>
        <w:rPr>
          <w:rFonts w:asciiTheme="majorHAnsi" w:eastAsia="Arial" w:hAnsiTheme="majorHAnsi"/>
          <w:b/>
        </w:rPr>
        <w:t>PREÂMBULO</w:t>
      </w:r>
    </w:p>
    <w:p>
      <w:pPr>
        <w:jc w:val="center"/>
        <w:rPr>
          <w:rFonts w:asciiTheme="majorHAnsi" w:eastAsia="Arial" w:hAnsiTheme="majorHAnsi"/>
          <w:b/>
        </w:rPr>
      </w:pPr>
    </w:p>
    <w:p>
      <w:pPr>
        <w:pStyle w:val="Nivel2"/>
        <w:numPr>
          <w:ilvl w:val="0"/>
          <w:numId w:val="0"/>
        </w:numPr>
        <w:spacing w:before="0" w:after="0"/>
        <w:rPr>
          <w:rFonts w:asciiTheme="majorHAnsi" w:eastAsia="Times New Roman" w:hAnsiTheme="majorHAnsi" w:cs="Times New Roman"/>
          <w:sz w:val="22"/>
          <w:szCs w:val="22"/>
        </w:rPr>
      </w:pPr>
      <w:bookmarkStart w:id="1" w:name="_heading=h.1fob9te" w:colFirst="0" w:colLast="0"/>
      <w:bookmarkStart w:id="2" w:name="_heading=h.3znysh7" w:colFirst="0" w:colLast="0"/>
      <w:bookmarkEnd w:id="1"/>
      <w:bookmarkEnd w:id="2"/>
      <w:r>
        <w:rPr>
          <w:rFonts w:asciiTheme="majorHAnsi" w:hAnsiTheme="majorHAnsi" w:cs="Times New Roman"/>
          <w:sz w:val="22"/>
          <w:szCs w:val="22"/>
        </w:rPr>
        <w:t>Torna-se público que a PREFEITURA MUNICIPAL DE MIRAÍMA, por meio do setor de licitações, sediada na Esplanada da Estação, 433, Centro, Miraíma-CE, realizará licitação, na modalidade PREGÃO, na forma ELETRÔNICA,</w:t>
      </w:r>
      <w:r>
        <w:rPr>
          <w:rFonts w:asciiTheme="majorHAnsi" w:eastAsia="Times New Roman" w:hAnsiTheme="majorHAnsi" w:cs="Times New Roman"/>
          <w:sz w:val="22"/>
          <w:szCs w:val="22"/>
        </w:rPr>
        <w:t xml:space="preserve"> </w:t>
      </w:r>
      <w:r>
        <w:rPr>
          <w:rFonts w:asciiTheme="majorHAnsi" w:hAnsiTheme="majorHAnsi" w:cs="Times New Roman"/>
          <w:sz w:val="22"/>
          <w:szCs w:val="22"/>
        </w:rPr>
        <w:t xml:space="preserve">nos termos da </w:t>
      </w:r>
      <w:hyperlink r:id="rId8" w:history="1">
        <w:r>
          <w:rPr>
            <w:rStyle w:val="Hyperlink"/>
            <w:rFonts w:asciiTheme="majorHAnsi" w:hAnsiTheme="majorHAnsi"/>
            <w:sz w:val="22"/>
            <w:szCs w:val="22"/>
          </w:rPr>
          <w:t>Lei nº 14.133, de 1º de abril de 2021</w:t>
        </w:r>
      </w:hyperlink>
      <w:r>
        <w:rPr>
          <w:rFonts w:asciiTheme="majorHAnsi" w:hAnsiTheme="majorHAnsi" w:cs="Times New Roman"/>
          <w:sz w:val="22"/>
          <w:szCs w:val="22"/>
        </w:rPr>
        <w:t>, e demais legislação aplicável e, ainda, de acordo com as condições estabelecidas neste Edital</w:t>
      </w:r>
      <w:r>
        <w:rPr>
          <w:rFonts w:asciiTheme="majorHAnsi" w:eastAsia="Times New Roman" w:hAnsiTheme="majorHAnsi" w:cs="Times New Roman"/>
          <w:sz w:val="22"/>
          <w:szCs w:val="22"/>
        </w:rPr>
        <w:t>.</w:t>
      </w:r>
    </w:p>
    <w:p>
      <w:pPr>
        <w:pStyle w:val="Ttulo1"/>
        <w:numPr>
          <w:ilvl w:val="0"/>
          <w:numId w:val="0"/>
        </w:numPr>
        <w:rPr>
          <w:rFonts w:asciiTheme="majorHAnsi" w:hAnsiTheme="majorHAnsi" w:cs="Times New Roman"/>
          <w:b w:val="0"/>
          <w:bCs w:val="0"/>
        </w:rPr>
      </w:pPr>
      <w:r>
        <w:rPr>
          <w:rFonts w:asciiTheme="majorHAnsi" w:eastAsia="Arial" w:hAnsiTheme="majorHAnsi" w:cs="Times New Roman"/>
          <w:b w:val="0"/>
          <w:bCs w:val="0"/>
        </w:rPr>
        <w:t>A parte geral do presente edital é subdividida em duas outras partes, conforme a seguir apresentadas:</w:t>
      </w:r>
    </w:p>
    <w:p>
      <w:pPr>
        <w:rPr>
          <w:rFonts w:asciiTheme="majorHAnsi" w:eastAsia="Arial" w:hAnsiTheme="majorHAnsi"/>
          <w:b/>
        </w:rPr>
      </w:pPr>
    </w:p>
    <w:p>
      <w:pPr>
        <w:rPr>
          <w:rFonts w:asciiTheme="majorHAnsi" w:eastAsia="Arial" w:hAnsiTheme="majorHAnsi"/>
        </w:rPr>
      </w:pPr>
      <w:r>
        <w:rPr>
          <w:rFonts w:asciiTheme="majorHAnsi" w:eastAsia="Arial" w:hAnsiTheme="majorHAnsi"/>
          <w:b/>
        </w:rPr>
        <w:t>SUBPARTE A – CONDIÇÕES PARA COMPETIÇÃO, JULGAMENTO E ADJUDICAÇÃO</w:t>
      </w:r>
      <w:r>
        <w:rPr>
          <w:rFonts w:asciiTheme="majorHAnsi" w:eastAsia="Arial" w:hAnsiTheme="majorHAnsi"/>
        </w:rPr>
        <w:t>.</w:t>
      </w:r>
    </w:p>
    <w:p>
      <w:pPr>
        <w:jc w:val="both"/>
        <w:rPr>
          <w:rFonts w:asciiTheme="majorHAnsi" w:eastAsia="Arial" w:hAnsiTheme="majorHAnsi"/>
        </w:rPr>
      </w:pPr>
      <w:r>
        <w:rPr>
          <w:rFonts w:asciiTheme="majorHAnsi" w:eastAsia="Arial" w:hAnsiTheme="majorHAnsi"/>
        </w:rPr>
        <w:t>Em que são estabelecidos os requisitos e as condições para competição, julgamento e formalização do contrato.</w:t>
      </w:r>
    </w:p>
    <w:p>
      <w:pPr>
        <w:rPr>
          <w:rFonts w:asciiTheme="majorHAnsi" w:eastAsia="Arial" w:hAnsiTheme="majorHAnsi"/>
          <w:b/>
        </w:rPr>
      </w:pPr>
    </w:p>
    <w:p>
      <w:pPr>
        <w:rPr>
          <w:rFonts w:asciiTheme="majorHAnsi" w:eastAsia="Arial" w:hAnsiTheme="majorHAnsi"/>
          <w:b/>
        </w:rPr>
      </w:pPr>
      <w:r>
        <w:rPr>
          <w:rFonts w:asciiTheme="majorHAnsi" w:eastAsia="Arial" w:hAnsiTheme="majorHAnsi"/>
          <w:b/>
        </w:rPr>
        <w:t>SUBPARTE B – ANEXOS</w:t>
      </w:r>
    </w:p>
    <w:p>
      <w:pPr>
        <w:jc w:val="both"/>
        <w:rPr>
          <w:rFonts w:asciiTheme="majorHAnsi" w:eastAsia="Arial" w:hAnsiTheme="majorHAnsi"/>
        </w:rPr>
      </w:pPr>
      <w:r>
        <w:rPr>
          <w:rFonts w:asciiTheme="majorHAnsi" w:eastAsia="Arial" w:hAnsiTheme="majorHAnsi"/>
        </w:rPr>
        <w:t>ANEXO I – Termo de Referência e seus anexos;</w:t>
      </w:r>
    </w:p>
    <w:p>
      <w:pPr>
        <w:jc w:val="both"/>
        <w:rPr>
          <w:rFonts w:asciiTheme="majorHAnsi" w:eastAsia="Arial" w:hAnsiTheme="majorHAnsi"/>
        </w:rPr>
      </w:pPr>
      <w:r>
        <w:rPr>
          <w:rFonts w:asciiTheme="majorHAnsi" w:eastAsia="Arial" w:hAnsiTheme="majorHAnsi"/>
        </w:rPr>
        <w:t>ANEXO II – Modelo da Proposta de Preços;</w:t>
      </w:r>
    </w:p>
    <w:p>
      <w:pPr>
        <w:jc w:val="both"/>
        <w:rPr>
          <w:rFonts w:asciiTheme="majorHAnsi" w:eastAsia="Arial" w:hAnsiTheme="majorHAnsi"/>
        </w:rPr>
      </w:pPr>
      <w:r>
        <w:rPr>
          <w:rFonts w:asciiTheme="majorHAnsi" w:eastAsia="Arial" w:hAnsiTheme="majorHAnsi"/>
        </w:rPr>
        <w:t>ANEXO III – Minuta do Contrato.</w:t>
      </w:r>
    </w:p>
    <w:p>
      <w:pPr>
        <w:jc w:val="center"/>
        <w:rPr>
          <w:rFonts w:asciiTheme="majorHAnsi" w:eastAsia="Arial" w:hAnsiTheme="majorHAnsi"/>
        </w:rPr>
      </w:pPr>
    </w:p>
    <w:p>
      <w:pPr>
        <w:pStyle w:val="Ttulo1"/>
        <w:numPr>
          <w:ilvl w:val="0"/>
          <w:numId w:val="29"/>
        </w:numPr>
        <w:ind w:left="0" w:firstLine="0"/>
        <w:rPr>
          <w:rFonts w:asciiTheme="majorHAnsi" w:hAnsiTheme="majorHAnsi" w:cs="Times New Roman"/>
        </w:rPr>
      </w:pPr>
      <w:bookmarkStart w:id="3" w:name="_heading=h.2et92p0" w:colFirst="0" w:colLast="0"/>
      <w:bookmarkEnd w:id="3"/>
      <w:r>
        <w:rPr>
          <w:rFonts w:asciiTheme="majorHAnsi" w:hAnsiTheme="majorHAnsi" w:cs="Times New Roman"/>
        </w:rPr>
        <w:t>DO OBJETO</w:t>
      </w:r>
    </w:p>
    <w:p>
      <w:pPr>
        <w:ind w:left="-1134"/>
        <w:rPr>
          <w:rFonts w:asciiTheme="majorHAnsi" w:eastAsia="Arial" w:hAnsiTheme="majorHAnsi"/>
        </w:rPr>
      </w:pPr>
      <w:bookmarkStart w:id="4" w:name="_heading=h.tyjcwt" w:colFirst="0" w:colLast="0"/>
      <w:bookmarkEnd w:id="4"/>
      <w:r>
        <w:rPr>
          <w:rFonts w:asciiTheme="majorHAnsi" w:eastAsia="Arial" w:hAnsiTheme="majorHAnsi"/>
          <w:noProof/>
        </w:rPr>
        <w:drawing>
          <wp:inline distT="0" distB="0" distL="0" distR="0">
            <wp:extent cx="6448425" cy="85725"/>
            <wp:effectExtent l="0" t="0" r="0" b="0"/>
            <wp:docPr id="17645733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5"/>
        </w:numPr>
        <w:pBdr>
          <w:top w:val="nil"/>
          <w:left w:val="nil"/>
          <w:bottom w:val="nil"/>
          <w:right w:val="nil"/>
          <w:between w:val="nil"/>
        </w:pBdr>
        <w:tabs>
          <w:tab w:val="left" w:pos="426"/>
        </w:tabs>
        <w:ind w:left="0" w:firstLine="0"/>
        <w:jc w:val="both"/>
        <w:rPr>
          <w:rFonts w:asciiTheme="majorHAnsi" w:eastAsia="Arial" w:hAnsiTheme="majorHAnsi"/>
          <w:color w:val="000000"/>
        </w:rPr>
      </w:pPr>
      <w:bookmarkStart w:id="5" w:name="_heading=h.3dy6vkm" w:colFirst="0" w:colLast="0"/>
      <w:bookmarkEnd w:id="5"/>
      <w:r>
        <w:rPr>
          <w:rFonts w:asciiTheme="majorHAnsi" w:eastAsia="Arial" w:hAnsiTheme="majorHAnsi"/>
          <w:color w:val="000000"/>
        </w:rPr>
        <w:t xml:space="preserve">A presente licitação tem como objeto a </w:t>
      </w:r>
      <w:r>
        <w:rPr>
          <w:rFonts w:asciiTheme="majorHAnsi" w:eastAsia="Arial" w:hAnsiTheme="majorHAnsi"/>
          <w:b/>
          <w:color w:val="000000"/>
        </w:rPr>
        <w:t>AQUISIÇÃO DE VEÍCULOS (ZERO QUILÔMETRO), DESTINADOS AO ATENDIMENTO DAS NECESSIDADES DAS DIVERSAS SECRETARIAS DO MUNICÍPIO DE MIRAÍMA/CE</w:t>
      </w:r>
      <w:r>
        <w:rPr>
          <w:rFonts w:asciiTheme="majorHAnsi" w:eastAsia="Arial" w:hAnsiTheme="majorHAnsi"/>
          <w:color w:val="000000"/>
        </w:rPr>
        <w:t>, tudo conforme especificações contidas no Termo de Referência, constante do anexo 01 do Edital.</w:t>
      </w:r>
    </w:p>
    <w:p>
      <w:pPr>
        <w:tabs>
          <w:tab w:val="left" w:pos="426"/>
        </w:tabs>
        <w:jc w:val="both"/>
        <w:rPr>
          <w:rFonts w:asciiTheme="majorHAnsi" w:eastAsia="Arial" w:hAnsiTheme="majorHAnsi"/>
        </w:rPr>
      </w:pPr>
    </w:p>
    <w:p>
      <w:pPr>
        <w:pStyle w:val="Ttulo1"/>
        <w:numPr>
          <w:ilvl w:val="0"/>
          <w:numId w:val="29"/>
        </w:numPr>
        <w:ind w:left="0" w:firstLine="0"/>
        <w:rPr>
          <w:rFonts w:asciiTheme="majorHAnsi" w:hAnsiTheme="majorHAnsi" w:cs="Times New Roman"/>
        </w:rPr>
      </w:pPr>
      <w:bookmarkStart w:id="6" w:name="_heading=h.1t3h5sf" w:colFirst="0" w:colLast="0"/>
      <w:bookmarkEnd w:id="6"/>
      <w:r>
        <w:rPr>
          <w:rFonts w:asciiTheme="majorHAnsi" w:hAnsiTheme="majorHAnsi" w:cs="Times New Roman"/>
        </w:rPr>
        <w:t>DAS FASES DO PROCESSO LICITATÓRIO</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A disputa do presente procedimento licitatório terá o seguinte trâmite, em fases distintas:</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Credenciamento na plataforma “Compras Gov”;</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Recebimento das “Propostas de preços” e “Documentos de Habilitação” via sistema;</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Abertura das Propostas de preços apresentadas, verificação e classificação inicial;</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Lances, aplicação do direito de preferência e critérios de desempate;</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Amostras, se for o caso;</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Negociação, se for o caso;</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Apresentação de propostas ajustadas, se for o caso;</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Fase de aceitabilidade das propostas;</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Habilitação do proponente melhor classificado;</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Recursos;</w:t>
      </w:r>
    </w:p>
    <w:p>
      <w:pPr>
        <w:numPr>
          <w:ilvl w:val="2"/>
          <w:numId w:val="30"/>
        </w:numPr>
        <w:pBdr>
          <w:top w:val="nil"/>
          <w:left w:val="nil"/>
          <w:bottom w:val="nil"/>
          <w:right w:val="nil"/>
          <w:between w:val="nil"/>
        </w:pBdr>
        <w:tabs>
          <w:tab w:val="left" w:pos="426"/>
        </w:tabs>
        <w:jc w:val="both"/>
        <w:rPr>
          <w:rFonts w:asciiTheme="majorHAnsi" w:eastAsia="Arial" w:hAnsiTheme="majorHAnsi"/>
          <w:color w:val="000000"/>
        </w:rPr>
      </w:pPr>
      <w:r>
        <w:rPr>
          <w:rFonts w:asciiTheme="majorHAnsi" w:eastAsia="Arial" w:hAnsiTheme="majorHAnsi"/>
          <w:color w:val="000000"/>
        </w:rPr>
        <w:t>Adjudicação.</w:t>
      </w:r>
    </w:p>
    <w:p>
      <w:pPr>
        <w:pBdr>
          <w:top w:val="nil"/>
          <w:left w:val="nil"/>
          <w:bottom w:val="nil"/>
          <w:right w:val="nil"/>
          <w:between w:val="nil"/>
        </w:pBdr>
        <w:ind w:left="390"/>
        <w:rPr>
          <w:rFonts w:asciiTheme="majorHAnsi" w:eastAsia="Arial" w:hAnsiTheme="majorHAnsi"/>
          <w:color w:val="000000"/>
        </w:rPr>
      </w:pPr>
    </w:p>
    <w:p>
      <w:pPr>
        <w:pStyle w:val="Ttulo1"/>
        <w:numPr>
          <w:ilvl w:val="0"/>
          <w:numId w:val="29"/>
        </w:numPr>
        <w:ind w:left="0" w:firstLine="0"/>
        <w:rPr>
          <w:rFonts w:asciiTheme="majorHAnsi" w:hAnsiTheme="majorHAnsi" w:cs="Times New Roman"/>
        </w:rPr>
      </w:pPr>
      <w:bookmarkStart w:id="7" w:name="_heading=h.4d34og8" w:colFirst="0" w:colLast="0"/>
      <w:bookmarkEnd w:id="7"/>
      <w:r>
        <w:rPr>
          <w:rFonts w:asciiTheme="majorHAnsi" w:hAnsiTheme="majorHAnsi" w:cs="Times New Roman"/>
        </w:rPr>
        <w:t>DAS CONDIÇÕES PARA PARTICIPAÇÃO.</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PODERÃO PARTICIPAR DESTA LICITAÇÃO:</w:t>
      </w:r>
    </w:p>
    <w:p>
      <w:pPr>
        <w:numPr>
          <w:ilvl w:val="2"/>
          <w:numId w:val="29"/>
        </w:numPr>
        <w:pBdr>
          <w:top w:val="nil"/>
          <w:left w:val="nil"/>
          <w:bottom w:val="nil"/>
          <w:right w:val="nil"/>
          <w:between w:val="nil"/>
        </w:pBdr>
        <w:tabs>
          <w:tab w:val="left" w:pos="709"/>
        </w:tabs>
        <w:ind w:left="0" w:firstLine="0"/>
        <w:jc w:val="both"/>
        <w:rPr>
          <w:rFonts w:asciiTheme="majorHAnsi" w:eastAsia="Arial" w:hAnsiTheme="majorHAnsi"/>
          <w:color w:val="000000"/>
        </w:rPr>
      </w:pPr>
      <w:r>
        <w:rPr>
          <w:rFonts w:asciiTheme="majorHAnsi" w:eastAsia="Arial" w:hAnsiTheme="majorHAnsi"/>
          <w:color w:val="000000"/>
        </w:rPr>
        <w:lastRenderedPageBreak/>
        <w:t xml:space="preserve">Quaisquer interessados na forma de </w:t>
      </w:r>
      <w:r>
        <w:rPr>
          <w:rFonts w:asciiTheme="majorHAnsi" w:eastAsia="Arial" w:hAnsiTheme="majorHAnsi"/>
          <w:b/>
          <w:color w:val="000000"/>
          <w:u w:val="single"/>
        </w:rPr>
        <w:t>PESSOA JURÍDICA</w:t>
      </w:r>
      <w:r>
        <w:rPr>
          <w:rFonts w:asciiTheme="majorHAnsi" w:eastAsia="Arial" w:hAnsiTheme="majorHAnsi"/>
          <w:color w:val="000000"/>
        </w:rPr>
        <w:t xml:space="preserve"> que:</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Esteja regularmente estabelecida neste País, credenciados junto à plataforma “Compras Gov”, cadastrados ou não no Cadastro de Fornecedores da Prefeitura Municipal de Miraíma/CE e que satisfaçam a todas as condições da legislação em vigor, deste edital;</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Possua objetivos sociais / ramo de atividade compatível com o objeto da licitação, devendo, ainda, cumprir a legislações próprias quanto à forma constituição do tipo de empresa.</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Constituídas na forma de cooperativas, desde que atendidos os requisitos do art. 16 da Lei 14.133/2021 e da legislação específica correspondente, mediante declaração em campo próprio do sistema;</w:t>
      </w:r>
    </w:p>
    <w:p>
      <w:pPr>
        <w:numPr>
          <w:ilvl w:val="2"/>
          <w:numId w:val="29"/>
        </w:numPr>
        <w:pBdr>
          <w:top w:val="nil"/>
          <w:left w:val="nil"/>
          <w:bottom w:val="nil"/>
          <w:right w:val="nil"/>
          <w:between w:val="nil"/>
        </w:pBdr>
        <w:tabs>
          <w:tab w:val="left" w:pos="709"/>
        </w:tabs>
        <w:ind w:left="0" w:firstLine="0"/>
        <w:jc w:val="both"/>
        <w:rPr>
          <w:rFonts w:asciiTheme="majorHAnsi" w:eastAsia="Arial" w:hAnsiTheme="majorHAnsi"/>
          <w:color w:val="000000"/>
        </w:rPr>
      </w:pPr>
      <w:r>
        <w:rPr>
          <w:rFonts w:asciiTheme="majorHAnsi" w:eastAsia="Arial" w:hAnsiTheme="majorHAnsi"/>
          <w:color w:val="000000"/>
        </w:rPr>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Sistema do “Compras Gov” o exercício do direito de preferência previsto em Lei.</w:t>
      </w:r>
    </w:p>
    <w:p>
      <w:pPr>
        <w:numPr>
          <w:ilvl w:val="2"/>
          <w:numId w:val="29"/>
        </w:numPr>
        <w:pBdr>
          <w:top w:val="nil"/>
          <w:left w:val="nil"/>
          <w:bottom w:val="nil"/>
          <w:right w:val="nil"/>
          <w:between w:val="nil"/>
        </w:pBdr>
        <w:tabs>
          <w:tab w:val="left" w:pos="709"/>
        </w:tabs>
        <w:ind w:left="0" w:firstLine="0"/>
        <w:jc w:val="both"/>
        <w:rPr>
          <w:rFonts w:asciiTheme="majorHAnsi" w:eastAsia="Arial" w:hAnsiTheme="majorHAnsi"/>
          <w:color w:val="000000"/>
        </w:rPr>
      </w:pPr>
      <w:r>
        <w:rPr>
          <w:rFonts w:asciiTheme="majorHAnsi" w:eastAsia="Arial" w:hAnsiTheme="majorHAnsi"/>
          <w:color w:val="000000"/>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numPr>
          <w:ilvl w:val="2"/>
          <w:numId w:val="29"/>
        </w:numPr>
        <w:pBdr>
          <w:top w:val="nil"/>
          <w:left w:val="nil"/>
          <w:bottom w:val="nil"/>
          <w:right w:val="nil"/>
          <w:between w:val="nil"/>
        </w:pBdr>
        <w:tabs>
          <w:tab w:val="left" w:pos="709"/>
        </w:tabs>
        <w:ind w:left="0" w:firstLine="0"/>
        <w:jc w:val="both"/>
        <w:rPr>
          <w:rFonts w:asciiTheme="majorHAnsi" w:eastAsia="Arial" w:hAnsiTheme="majorHAnsi"/>
          <w:b/>
          <w:color w:val="000000"/>
        </w:rPr>
      </w:pPr>
      <w:r>
        <w:rPr>
          <w:rFonts w:asciiTheme="majorHAnsi" w:eastAsia="Arial" w:hAnsiTheme="majorHAnsi"/>
          <w:b/>
          <w:color w:val="000000"/>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shd w:val="clear" w:color="auto" w:fill="FFFFFF"/>
        <w:tabs>
          <w:tab w:val="left" w:pos="284"/>
        </w:tabs>
        <w:jc w:val="both"/>
        <w:rPr>
          <w:rFonts w:asciiTheme="majorHAnsi" w:eastAsia="Arial" w:hAnsiTheme="majorHAnsi"/>
          <w:b/>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NÃO PODERÃO PARTICIPAR DESTA LICITAÇÃO: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autor do anteprojeto, do projeto básico ou do projeto executivo, pessoa física ou jurídica, quando a licitação versar sobre obra, serviços ou fornecimento de bens a ele relacionados.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Empresas reunidas em consórcio;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Organizações da Sociedade Civil de Interesse Público - OSCIP, atuando nessa condição (Acórdão nº 746/2014-TCU-Plenário);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Pessoa jurídica que se encontre, ao tempo da licitação, impossibilitada de participar da licitação em decorrência de sanção de suspensão temporária de participação em licitação, impedimento de contratar com a Prefeitura Municipal de Miraíma/CE, tenham sido declaradas inidôneas e estejam impedidas de licitar ou contratar com a Administração Pública Federal, Estadual e Municipal, que estejam cadastradas positivamente no Sistema de Cadastramento Unificado de Fornecedores (SICAF), no cadastro Consolidado de Pessoa Jurídica do TCU, no Cadastro Nacional de Empresas Inidôneas (CEIS), no Cadastro Nacional de Empresas Punidas (CNEP).</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Empresas controladoras, controladas ou coligadas, nos termos da Lei nº 6.404, de 15 de dezembro de 1976, concorrendo entre si;</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Que não tenham providenciado o credenciamento junto a plataforma eletrônica de julgamento.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Os interessados que se encontrem em processo de falência decretada ou em processo de dissolução, de fusão, de cisão ou de incorporação.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Empresas cujos dirigentes, gerentes, sócios ou componentes de seu quadro técnico sejam funcionários ou empregados públicos da Administração Pública Municipal Direta ou Indireta.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Empresas Estrangeiras não autorizadas a funcionar no País.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Empresas cujo objeto social não seja pertinente e compatível com o objeto desta licitação.</w:t>
      </w:r>
    </w:p>
    <w:p>
      <w:pPr>
        <w:pStyle w:val="Ttulo1"/>
        <w:numPr>
          <w:ilvl w:val="0"/>
          <w:numId w:val="0"/>
        </w:numPr>
        <w:rPr>
          <w:rFonts w:asciiTheme="majorHAnsi" w:hAnsiTheme="majorHAnsi" w:cs="Times New Roman"/>
        </w:rPr>
      </w:pPr>
    </w:p>
    <w:p>
      <w:pPr>
        <w:pStyle w:val="Ttulo1"/>
        <w:numPr>
          <w:ilvl w:val="0"/>
          <w:numId w:val="29"/>
        </w:numPr>
        <w:ind w:left="0" w:firstLine="0"/>
        <w:rPr>
          <w:rFonts w:asciiTheme="majorHAnsi" w:hAnsiTheme="majorHAnsi" w:cs="Times New Roman"/>
        </w:rPr>
      </w:pPr>
      <w:bookmarkStart w:id="8" w:name="_heading=h.2s8eyo1" w:colFirst="0" w:colLast="0"/>
      <w:bookmarkEnd w:id="8"/>
      <w:r>
        <w:rPr>
          <w:rFonts w:asciiTheme="majorHAnsi" w:hAnsiTheme="majorHAnsi" w:cs="Times New Roman"/>
        </w:rPr>
        <w:t>DISPOSIÇÕES DE OBSERVÂNCIA OBRIGATÓRIA PELO PROPONENTE NO CURSO NO PROCEDIMENTO LICITATÓRIO.</w:t>
      </w:r>
    </w:p>
    <w:p>
      <w:pPr>
        <w:pBdr>
          <w:top w:val="nil"/>
          <w:left w:val="nil"/>
          <w:bottom w:val="nil"/>
          <w:right w:val="nil"/>
          <w:between w:val="nil"/>
        </w:pBdr>
        <w:ind w:left="-1134"/>
        <w:rPr>
          <w:rFonts w:asciiTheme="majorHAnsi" w:eastAsia="Arial" w:hAnsiTheme="majorHAnsi"/>
          <w:color w:val="000000"/>
          <w:sz w:val="20"/>
          <w:szCs w:val="20"/>
        </w:rPr>
      </w:pPr>
      <w:r>
        <w:rPr>
          <w:rFonts w:asciiTheme="majorHAnsi" w:eastAsia="Arial" w:hAnsiTheme="majorHAnsi"/>
          <w:noProof/>
          <w:color w:val="000000"/>
          <w:sz w:val="20"/>
          <w:szCs w:val="20"/>
        </w:rPr>
        <w:drawing>
          <wp:inline distT="0" distB="0" distL="0" distR="0">
            <wp:extent cx="6448425" cy="85725"/>
            <wp:effectExtent l="0" t="0" r="0" b="0"/>
            <wp:docPr id="17645733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proponente interessado na participação da presente licitação fica OBRIGADO a:</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Responsabilizar-se pela proposta, declarações, documentos e demais informações cadastradas ou anexadas a plataforma eletrônica “Compras Gov”, bem como pelos registros realizados no CHAT durante o processamento e julgamento do certame;</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Realizar as declarações eletrônicas exigidas no cadastro da proposta na plataforma eletrônica “Compras Gov”, sem qualquer falseamento da verdade;</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Remeter, no prazo estabelecido, EXCLUSIVAMENTE VIA SISTEMA, os documentos de habilitação, a proposta e, quando necessário, os documentos complementares solicitados no presente Edital e seus ANEXOS;</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Manter-se logado (online) ao “Compras Gov”, acompanhando os trabalhos de processamento do certame durante toda a Sessão Pública Eletrônica, atendendo tempestivamente aos chamados do(a) Pregoeiro(a) via CHAT;</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Cumprir integralmente a proposta comercial cadastrada ou o lance final registrado no “Compras Gov”;</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fazer declaração falsa ou não apresentar documento falso;</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cometer fraude fiscal;</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formar conluio ou combinar proposta com concorrente(s);</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fraudar ou frustrar a concorrência com utilização de mecanismos eletrônicos de registro de propostas, lances e/ou documentos;</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indicar, para fins de garantia do anonimato da fase competitiva, qualquer tipo de caractere especial identificador da empresa no cadastro da proposta eletrônica no “Compras Gov”;</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Manter atualizadas todas as informações da empresa no SICAF que possam facilitar a comunicação, particularmente telefones e e-mail;</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lastRenderedPageBreak/>
        <w:t>Não praticar qualquer ato lesivo à Administração Pública contido no art. 5º da Lei nº 12.846/2013.</w:t>
      </w:r>
    </w:p>
    <w:p>
      <w:pPr>
        <w:numPr>
          <w:ilvl w:val="0"/>
          <w:numId w:val="1"/>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se enquadrar em nenhuma das proibições indicadas nas alíneas do item 3.2 deste Edital.</w:t>
      </w:r>
    </w:p>
    <w:p>
      <w:pPr>
        <w:pBdr>
          <w:top w:val="nil"/>
          <w:left w:val="nil"/>
          <w:bottom w:val="nil"/>
          <w:right w:val="nil"/>
          <w:between w:val="nil"/>
        </w:pBdr>
        <w:tabs>
          <w:tab w:val="left" w:pos="284"/>
        </w:tabs>
        <w:jc w:val="both"/>
        <w:rPr>
          <w:rFonts w:asciiTheme="majorHAnsi" w:eastAsia="Arial" w:hAnsiTheme="majorHAnsi"/>
          <w:b/>
          <w:color w:val="000000"/>
        </w:rPr>
      </w:pPr>
    </w:p>
    <w:p>
      <w:pPr>
        <w:pStyle w:val="Ttulo1"/>
        <w:numPr>
          <w:ilvl w:val="0"/>
          <w:numId w:val="29"/>
        </w:numPr>
        <w:ind w:left="0" w:firstLine="0"/>
        <w:rPr>
          <w:rFonts w:asciiTheme="majorHAnsi" w:hAnsiTheme="majorHAnsi" w:cs="Times New Roman"/>
        </w:rPr>
      </w:pPr>
      <w:bookmarkStart w:id="9" w:name="_heading=h.17dp8vu" w:colFirst="0" w:colLast="0"/>
      <w:bookmarkEnd w:id="9"/>
      <w:r>
        <w:rPr>
          <w:rFonts w:asciiTheme="majorHAnsi" w:hAnsiTheme="majorHAnsi" w:cs="Times New Roman"/>
        </w:rPr>
        <w:t>DO CREDENCIAMENTO DO PROPONENTE NA PLATAFORMA ELETRÔNICA.</w:t>
      </w:r>
    </w:p>
    <w:p>
      <w:pPr>
        <w:pBdr>
          <w:top w:val="nil"/>
          <w:left w:val="nil"/>
          <w:bottom w:val="nil"/>
          <w:right w:val="nil"/>
          <w:between w:val="nil"/>
        </w:pBdr>
        <w:ind w:left="-1134"/>
        <w:rPr>
          <w:rFonts w:asciiTheme="majorHAnsi" w:eastAsia="Arial" w:hAnsiTheme="majorHAnsi"/>
          <w:color w:val="000000"/>
          <w:sz w:val="20"/>
          <w:szCs w:val="20"/>
        </w:rPr>
      </w:pPr>
      <w:r>
        <w:rPr>
          <w:rFonts w:asciiTheme="majorHAnsi" w:eastAsia="Arial" w:hAnsiTheme="majorHAnsi"/>
          <w:noProof/>
          <w:color w:val="000000"/>
          <w:sz w:val="20"/>
          <w:szCs w:val="20"/>
        </w:rPr>
        <w:drawing>
          <wp:inline distT="0" distB="0" distL="0" distR="0">
            <wp:extent cx="6448425" cy="85725"/>
            <wp:effectExtent l="0" t="0" r="0" b="0"/>
            <wp:docPr id="17645733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interessados aptos à participação do presente procedimento licitatório deverão providenciar o cadastramento do proponente junto ao “Compras Gov”.</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Credenciamento junto ao “Compras Gov”, que permite a participação dos interessados na modalidade licitatória Pregão, em sua forma eletrônica.</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credenciamento junto ao provedor do sistema implica a responsabilidade do proponente ou de seu representante legal e a presunção de sua capacidade técnica para realização das transações inerentes a este Pregão.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perda da senha ou a quebra de sigilo deverão ser comunicadas imediatamente ao provedor do sistema para imediato bloqueio de acesso.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É de exclusiva responsabilidade do usuário o sigilo da senha, bem como seu uso em qualquer transação efetuada diretamente ou por seu representante, não cabendo à </w:t>
      </w:r>
      <w:r>
        <w:rPr>
          <w:rFonts w:asciiTheme="majorHAnsi" w:eastAsia="Arial" w:hAnsiTheme="majorHAnsi"/>
          <w:b/>
          <w:color w:val="000000"/>
        </w:rPr>
        <w:t xml:space="preserve">PREFEITURA MUNICIPAL DE MIRAÍMA/CE </w:t>
      </w:r>
      <w:r>
        <w:rPr>
          <w:rFonts w:asciiTheme="majorHAnsi" w:eastAsia="Arial" w:hAnsiTheme="majorHAnsi"/>
          <w:color w:val="000000"/>
        </w:rPr>
        <w:t xml:space="preserve">ou ao “Compras Gov”, a responsabilidade por eventuais danos decorrentes do seu uso indevido, ainda que por terceiros. </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O credenciamento do fornecedor e de seu representante legal na plataforma eletrônica implica a responsabilidade legal pelos atos praticados e a presunção de capacidade técnica para realização das transações inerentes ao pregão eletrônico. </w:t>
      </w:r>
    </w:p>
    <w:p>
      <w:pPr>
        <w:tabs>
          <w:tab w:val="left" w:pos="426"/>
        </w:tabs>
        <w:jc w:val="both"/>
        <w:rPr>
          <w:rFonts w:asciiTheme="majorHAnsi" w:eastAsia="Arial" w:hAnsiTheme="majorHAnsi"/>
        </w:rPr>
      </w:pPr>
    </w:p>
    <w:p>
      <w:pPr>
        <w:pStyle w:val="Ttulo1"/>
        <w:numPr>
          <w:ilvl w:val="0"/>
          <w:numId w:val="29"/>
        </w:numPr>
        <w:ind w:left="0" w:firstLine="0"/>
        <w:rPr>
          <w:rFonts w:asciiTheme="majorHAnsi" w:hAnsiTheme="majorHAnsi" w:cs="Times New Roman"/>
        </w:rPr>
      </w:pPr>
      <w:bookmarkStart w:id="10" w:name="_heading=h.3rdcrjn" w:colFirst="0" w:colLast="0"/>
      <w:bookmarkEnd w:id="10"/>
      <w:r>
        <w:rPr>
          <w:rFonts w:asciiTheme="majorHAnsi" w:hAnsiTheme="majorHAnsi" w:cs="Times New Roman"/>
        </w:rPr>
        <w:t>PARÂMETROS DOS DOCUMENTOS A SEREM APRESENTADOS NO PROCEDIMENTO.</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Cada proponente deverá apresentar através do sistema “Compras Gov” os documentos exigidos inicialmente por meio da internet, sendo:</w:t>
      </w:r>
    </w:p>
    <w:p>
      <w:pPr>
        <w:keepLines/>
        <w:widowControl w:val="0"/>
        <w:pBdr>
          <w:top w:val="nil"/>
          <w:left w:val="nil"/>
          <w:bottom w:val="nil"/>
          <w:right w:val="nil"/>
          <w:between w:val="nil"/>
        </w:pBdr>
        <w:ind w:firstLine="708"/>
        <w:jc w:val="both"/>
        <w:rPr>
          <w:rFonts w:asciiTheme="majorHAnsi" w:eastAsia="Arial" w:hAnsiTheme="majorHAnsi"/>
          <w:color w:val="000000"/>
        </w:rPr>
      </w:pPr>
      <w:r>
        <w:rPr>
          <w:rFonts w:asciiTheme="majorHAnsi" w:eastAsia="Arial" w:hAnsiTheme="majorHAnsi"/>
          <w:color w:val="000000"/>
        </w:rPr>
        <w:t>a) a Proposta de Preços e seus ANEXOS;</w:t>
      </w:r>
    </w:p>
    <w:p>
      <w:pPr>
        <w:keepLines/>
        <w:widowControl w:val="0"/>
        <w:pBdr>
          <w:top w:val="nil"/>
          <w:left w:val="nil"/>
          <w:bottom w:val="nil"/>
          <w:right w:val="nil"/>
          <w:between w:val="nil"/>
        </w:pBdr>
        <w:ind w:left="708"/>
        <w:jc w:val="both"/>
        <w:rPr>
          <w:rFonts w:asciiTheme="majorHAnsi" w:eastAsia="Arial" w:hAnsiTheme="majorHAnsi"/>
          <w:color w:val="000000"/>
        </w:rPr>
      </w:pPr>
      <w:r>
        <w:rPr>
          <w:rFonts w:asciiTheme="majorHAnsi" w:eastAsia="Arial" w:hAnsiTheme="majorHAnsi"/>
          <w:color w:val="000000"/>
        </w:rPr>
        <w:t>b) os Documentos de Habilitação;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documentos, em formato de arquivo, a serem enviados via internet somente poderão ter as extensões *.doc, *.xls, ou *.pdf.</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documentos comprovadamente apresentados em formato corrompido ou incompatível com a versão sistêmica operada, poderão ser solicitados mediante nova anexação, por parte do(a) Pregoeiro(a), ficando a critério deste(a), de acordo com o caso concreto, realizar tal solicitação, a fim de que se façam as elucidações necessárias ao pleno julgamento.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É dever da proponente atualizar previamente os documentos constantes no SICAF para que estejam vigentes na data da abertura da sessão pública, ou encaminhar, em conjunto com a apresentação da proposta, a respectiva documentação atualizada.</w:t>
      </w:r>
    </w:p>
    <w:p>
      <w:pPr>
        <w:rPr>
          <w:rFonts w:asciiTheme="majorHAnsi" w:eastAsia="Arial" w:hAnsiTheme="majorHAnsi"/>
          <w:b/>
          <w:color w:val="FF0000"/>
        </w:rPr>
      </w:pPr>
    </w:p>
    <w:p>
      <w:pPr>
        <w:pStyle w:val="Ttulo1"/>
        <w:numPr>
          <w:ilvl w:val="0"/>
          <w:numId w:val="29"/>
        </w:numPr>
        <w:ind w:left="0" w:firstLine="0"/>
        <w:rPr>
          <w:rFonts w:asciiTheme="majorHAnsi" w:hAnsiTheme="majorHAnsi" w:cs="Times New Roman"/>
        </w:rPr>
      </w:pPr>
      <w:bookmarkStart w:id="11" w:name="_heading=h.26in1rg" w:colFirst="0" w:colLast="0"/>
      <w:bookmarkEnd w:id="11"/>
      <w:r>
        <w:rPr>
          <w:rFonts w:asciiTheme="majorHAnsi" w:hAnsiTheme="majorHAnsi" w:cs="Times New Roman"/>
        </w:rPr>
        <w:t>DA PROPOSTA DE PREÇOS</w:t>
      </w:r>
    </w:p>
    <w:p>
      <w:pPr>
        <w:ind w:left="-1134"/>
        <w:rPr>
          <w:rFonts w:asciiTheme="majorHAnsi" w:eastAsia="Arial" w:hAnsiTheme="majorHAnsi"/>
          <w:color w:val="FF0000"/>
        </w:rPr>
      </w:pPr>
      <w:r>
        <w:rPr>
          <w:rFonts w:asciiTheme="majorHAnsi" w:eastAsia="Arial" w:hAnsiTheme="majorHAnsi"/>
          <w:noProof/>
          <w:color w:val="FF0000"/>
        </w:rPr>
        <w:drawing>
          <wp:inline distT="0" distB="0" distL="0" distR="0">
            <wp:extent cx="6448425" cy="85725"/>
            <wp:effectExtent l="0" t="0" r="0" b="0"/>
            <wp:docPr id="17645733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lastRenderedPageBreak/>
        <w:t>FORMALIDADES QUANTO A PROPOSTA DE PREÇOS: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Proposta de Preços, sob pena de desclassificação, deverá ser elaborada conforme o anexo 02 deste instrumento, em papel timbrado da proponente, estando, ainda, devidamente assinada e sendo enviada exclusivamente por meio da plataforma do “Compras Gov”, caracterizando o item proposto no campo discriminado, em conformidade com o Termo de Referência – anexo 01 do Edital.</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r>
        <w:rPr>
          <w:rFonts w:asciiTheme="majorHAnsi" w:eastAsia="Arial" w:hAnsiTheme="majorHAnsi"/>
        </w:rPr>
        <w:t>.</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jc w:val="both"/>
        <w:rPr>
          <w:rFonts w:asciiTheme="majorHAnsi" w:eastAsia="Arial" w:hAnsiTheme="majorHAnsi"/>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 CADASTRAMENTO DA PROPOSTA DE PREÇOS: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participação neste certame licitatório dar-se-á pela utilização da senha de acesso individual a plataforma eletrônica “Compras Gov” de cada proponente, mediante prévio cadastro da proposta até a data e horário previstos para abertura da sessão do certame.</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Nos termos do art. 63, da Lei 14.133/2021, o proponente DEVERÁ, OBRIGATÓRIA E PREVIAMENTE, registrar sua proposta de preços (inicial) na plataforma do “Compras Gov”, como também ANEXAR o arquivo correspondente a proposta (juntamente com os documentos e informações técnicas de comprovação da qualidade do objeto proposto, casos sejam exigidos no Termo de Referência), até a data e horário marcados para abertura da sessão.</w:t>
      </w:r>
    </w:p>
    <w:p>
      <w:pPr>
        <w:pBdr>
          <w:top w:val="nil"/>
          <w:left w:val="nil"/>
          <w:bottom w:val="nil"/>
          <w:right w:val="nil"/>
          <w:between w:val="nil"/>
        </w:pBdr>
        <w:tabs>
          <w:tab w:val="left" w:pos="426"/>
        </w:tabs>
        <w:jc w:val="both"/>
        <w:rPr>
          <w:rFonts w:asciiTheme="majorHAnsi" w:eastAsia="Arial" w:hAnsiTheme="majorHAnsi"/>
          <w:b/>
          <w:color w:val="000000"/>
        </w:rPr>
      </w:pPr>
    </w:p>
    <w:p>
      <w:pPr>
        <w:pBdr>
          <w:top w:val="dashed" w:sz="12" w:space="1" w:color="FF0000"/>
          <w:left w:val="dashed" w:sz="12" w:space="4" w:color="FF0000"/>
          <w:bottom w:val="dashed" w:sz="12" w:space="1" w:color="FF0000"/>
          <w:right w:val="dashed" w:sz="12" w:space="4" w:color="FF0000"/>
          <w:between w:val="nil"/>
        </w:pBdr>
        <w:tabs>
          <w:tab w:val="left" w:pos="426"/>
        </w:tabs>
        <w:ind w:left="142"/>
        <w:jc w:val="both"/>
        <w:rPr>
          <w:rFonts w:asciiTheme="majorHAnsi" w:eastAsia="Arial" w:hAnsiTheme="majorHAnsi"/>
          <w:color w:val="000000"/>
        </w:rPr>
      </w:pPr>
      <w:r>
        <w:rPr>
          <w:rFonts w:asciiTheme="majorHAnsi" w:eastAsia="Arial" w:hAnsiTheme="majorHAnsi"/>
          <w:b/>
          <w:color w:val="000000"/>
        </w:rPr>
        <w:t>OBSERVAÇÃO:</w:t>
      </w:r>
      <w:r>
        <w:rPr>
          <w:rFonts w:asciiTheme="majorHAnsi" w:eastAsia="Arial" w:hAnsiTheme="majorHAnsi"/>
          <w:color w:val="000000"/>
        </w:rPr>
        <w:t xml:space="preserve"> RECOMENDA-SE que também seja anexada no “Compras Gov”, juntamente com a proposta de preços inicial, todos os DOCUMENTOS DE HABILITAÇÃO exigidos para fins de julgamento do certame, observadas as exigências contidas no edital. Atentem-se para não inserir os documentos em campos inapropriados de forma que enseje na identificação da proposta de preços inicial.</w:t>
      </w:r>
    </w:p>
    <w:p>
      <w:pPr>
        <w:pBdr>
          <w:top w:val="nil"/>
          <w:left w:val="nil"/>
          <w:bottom w:val="nil"/>
          <w:right w:val="nil"/>
          <w:between w:val="nil"/>
        </w:pBdr>
        <w:tabs>
          <w:tab w:val="left" w:pos="426"/>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Serão disponibilizados para acesso público os documentos que compõem a proposta dos licitantes convocados para apresentação de propostas, após a fase de envio de lances.</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Theme="majorHAnsi" w:eastAsia="Arial" w:hAnsiTheme="majorHAnsi"/>
          <w:b/>
          <w:color w:val="000000"/>
          <w:u w:val="single"/>
        </w:rPr>
        <w:t>Depois da data e horário de abertura da Sessão, não caberá qualquer alteração ou desistência de proposta.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Nenhuma proposta comercial ou documentação de habilitação poderá ser encaminhada ao(a) Pregoeiro(a) por e-mail ou outro meio de comunicação antes do encerramento da etapa competitiva, sob pena de quebra do anonimato da competição e consequente desclassificação.</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Na etapa de apresentação da proposta e dos documentos de habilitação pelo proponente, observado o disposto no caput, não haverá ordem de classificação das propostas, o que ocorrerá somente após os procedimentos de julgamento.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proponente deverá consignar diretamente no Sistema, na forma nele disposta, além da descrição sucinta do objeto a ser fornecido, inclusive com indicação de marca, modelo e fabricação (se for o caso), a quantidade e os valores unitários e total do objeto proposto, já inclusas todas as despesas inerentes, tais como: impostos, taxas, fretes, seguros e demais encargos, de qualquer natureza, que se façam indispensáveis à perfeita execução do objeto.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lastRenderedPageBreak/>
        <w:t>Não poderá ser incluído no registro da proposta eletrônica diretamente no “Compras Gov” qualquer nome, texto, elemento ou caractere que possa identificar o proponente, sob pena de DESCLASSIFICAÇÃO da proposta e aplicação de SANÇÃO ADMINISTRATIVA.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não emprega menor de 18 anos em trabalho noturno, perigoso ou insalubre, e não emprega menor de 16 anos, salvo, a partir de 14 anos, na condição de aprendiz, nos termos do inciso XXXIII, do art. 7º da Constituição Federal;</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não possui, em sua cadeia produtiva, empregados executando trabalho degradante ou forçado, observando o disposto nos incisos III e IV do art. 1º e no inciso III do art. 5º da Constituição Federal;</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está ciente e concorda com as condições contidas no Edital e seus ANEXOS, bem como de que cumpre plenamente os requisitos de habilitação definidos no edital;</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até a presente data inexistem fatos impeditivos para a habilitação no presente processo licitatório, ciente da obrigatoriedade de declarar ocorrências posteriores;</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a proposta foi elaborada de forma independente, nos termos da Instrução Normativa SLTI/MP nº 2, de 16 de setembro de 2009;</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no caso de Microempresa - ME, Empresas de Pequeno Porte - EPP e equiparadas, que atende aos requisitos do art. 3º da LC nº 123/2006, para fazer jus aos benefícios previstos nessa lei;</w:t>
      </w:r>
    </w:p>
    <w:p>
      <w:pPr>
        <w:numPr>
          <w:ilvl w:val="2"/>
          <w:numId w:val="2"/>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As declarações mencionadas no subitem anterior serão visualizadas pela Pregoeira na fase de habilitação, quando serão anexadas aos autos do processo de contratação juntamente com a documentação de habilitação, não havendo necessidade de envio dos arquivos pelo Sistema “Compras Gov”.</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falsidade relativa a qualquer das declarações exigidas no item anterior sujeitará o proponente às sanções administrativas previstas no item 15 deste Edital, sem prejuízo das consequências civis e penais que seu ato ensejar.</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Para cadastramento da proposta no sistema “Compras Gov”, o licitante deverá se ater ao critério de julgamento definido ao presente certame, conforme definição no quadro de resumo constante do início deste edital, podendo ser:  </w:t>
      </w:r>
    </w:p>
    <w:p>
      <w:pPr>
        <w:numPr>
          <w:ilvl w:val="3"/>
          <w:numId w:val="29"/>
        </w:numPr>
        <w:pBdr>
          <w:top w:val="nil"/>
          <w:left w:val="nil"/>
          <w:bottom w:val="nil"/>
          <w:right w:val="nil"/>
          <w:between w:val="nil"/>
        </w:pBdr>
        <w:tabs>
          <w:tab w:val="left" w:pos="426"/>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Para cadastramento da proposta e para a oferta dos lances no sistema “Compras Gov”, o licitante deverá se ater ao critério de julgamento definido ao presente certame, conforme definição no quadro de resumo constante do início deste edital, podendo o julgamento ser realizado </w:t>
      </w:r>
      <w:r>
        <w:rPr>
          <w:rFonts w:asciiTheme="majorHAnsi" w:eastAsia="Arial" w:hAnsiTheme="majorHAnsi"/>
          <w:b/>
          <w:color w:val="000000"/>
        </w:rPr>
        <w:t xml:space="preserve">POR LOTE </w:t>
      </w:r>
      <w:r>
        <w:rPr>
          <w:rFonts w:asciiTheme="majorHAnsi" w:eastAsia="Arial" w:hAnsiTheme="majorHAnsi"/>
          <w:color w:val="000000"/>
        </w:rPr>
        <w:t xml:space="preserve">ou </w:t>
      </w:r>
      <w:r>
        <w:rPr>
          <w:rFonts w:asciiTheme="majorHAnsi" w:eastAsia="Arial" w:hAnsiTheme="majorHAnsi"/>
          <w:b/>
          <w:color w:val="000000"/>
        </w:rPr>
        <w:t>POR ITEM</w:t>
      </w:r>
      <w:r>
        <w:rPr>
          <w:rFonts w:asciiTheme="majorHAnsi" w:eastAsia="Arial" w:hAnsiTheme="majorHAnsi"/>
          <w:color w:val="000000"/>
        </w:rPr>
        <w:t>. Em ambos os casos, ao oferecer proposta e ofertar os lances no sistema “Compras Gov” o valor a ser observado pelo fornecedor refere-se ao PREÇO UNITÁRIO DO ITEM.</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sz w:val="23"/>
          <w:szCs w:val="23"/>
        </w:rPr>
        <w:t xml:space="preserve">Desde que disponibilizada a funcionalidade no sistema, o licitante poderá, quando do cadastramento da proposta, parametrizar o seu valor final mínimo e obedecerá às seguintes regras: </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O intervalo mínimo de diferença de valores ou percentuais entre os lances, que incidirá tanto em relação aos lances intermediários quanto em relação à proposta que cobrir a melhor oferta deverá ser de 0,1% (um décimo por cento) do valor estimado da contratação conforme anexo 01 deste Edital; e </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Os lances serão de envio automático pelo sistema, respeitado o valor final mínimo estabelecido e o intervalo de que trata o subitem anterior.</w:t>
      </w:r>
    </w:p>
    <w:p>
      <w:pPr>
        <w:pBdr>
          <w:top w:val="nil"/>
          <w:left w:val="nil"/>
          <w:bottom w:val="nil"/>
          <w:right w:val="nil"/>
          <w:between w:val="nil"/>
        </w:pBdr>
        <w:tabs>
          <w:tab w:val="left" w:pos="426"/>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PRECAUÇÕES E COMPROMISSOS QUANTO A PROPOSTA DE PREÇOS: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O registro de proposta de preços eletrônica, </w:t>
      </w:r>
      <w:r>
        <w:rPr>
          <w:rFonts w:asciiTheme="majorHAnsi" w:eastAsia="Arial" w:hAnsiTheme="majorHAnsi"/>
          <w:b/>
          <w:color w:val="000000"/>
        </w:rPr>
        <w:t>seja ela inicial ou final</w:t>
      </w:r>
      <w:r>
        <w:rPr>
          <w:rFonts w:asciiTheme="majorHAnsi" w:eastAsia="Arial" w:hAnsiTheme="majorHAnsi"/>
          <w:color w:val="000000"/>
        </w:rPr>
        <w:t>, vinculada ao presente certame implica, independente de declaração expressa, na(o):</w:t>
      </w:r>
    </w:p>
    <w:p>
      <w:pPr>
        <w:numPr>
          <w:ilvl w:val="2"/>
          <w:numId w:val="3"/>
        </w:numPr>
        <w:pBdr>
          <w:top w:val="nil"/>
          <w:left w:val="nil"/>
          <w:bottom w:val="nil"/>
          <w:right w:val="nil"/>
          <w:between w:val="nil"/>
        </w:pBdr>
        <w:tabs>
          <w:tab w:val="left" w:pos="426"/>
          <w:tab w:val="left" w:pos="851"/>
        </w:tabs>
        <w:ind w:hanging="513"/>
        <w:jc w:val="both"/>
        <w:rPr>
          <w:rFonts w:asciiTheme="majorHAnsi" w:eastAsia="Arial" w:hAnsiTheme="majorHAnsi"/>
          <w:color w:val="000000"/>
        </w:rPr>
      </w:pPr>
      <w:r>
        <w:rPr>
          <w:rFonts w:asciiTheme="majorHAnsi" w:eastAsia="Arial" w:hAnsiTheme="majorHAnsi"/>
          <w:color w:val="000000"/>
        </w:rPr>
        <w:t>aceitação de todas as condições estabelecidas neste Edital e seus ANEXOS;</w:t>
      </w:r>
    </w:p>
    <w:p>
      <w:pPr>
        <w:numPr>
          <w:ilvl w:val="2"/>
          <w:numId w:val="3"/>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 xml:space="preserve">garantia do cumprimento da proposta por prazo mínimo de </w:t>
      </w:r>
      <w:r>
        <w:rPr>
          <w:rFonts w:asciiTheme="majorHAnsi" w:eastAsia="Arial" w:hAnsiTheme="majorHAnsi"/>
          <w:b/>
          <w:color w:val="000000"/>
        </w:rPr>
        <w:t>60 (sessenta) dias</w:t>
      </w:r>
      <w:r>
        <w:rPr>
          <w:rFonts w:asciiTheme="majorHAnsi" w:eastAsia="Arial" w:hAnsiTheme="majorHAnsi"/>
          <w:color w:val="000000"/>
        </w:rPr>
        <w:t>, contados da data de abertura da sessão pública estabelecida no preâmbulo deste Edital;</w:t>
      </w:r>
    </w:p>
    <w:p>
      <w:pPr>
        <w:numPr>
          <w:ilvl w:val="2"/>
          <w:numId w:val="3"/>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compromisso do proponente para com o rigoroso cumprimento das especificações técnicas, prazos e condições fixadas no Termo de Referência (anexo 01);</w:t>
      </w:r>
    </w:p>
    <w:p>
      <w:pPr>
        <w:numPr>
          <w:ilvl w:val="2"/>
          <w:numId w:val="3"/>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impossibilidade de posterior desistência ou declínio de proposta a partir da data da sessão eletrônica inicial, ou de requerer qualquer acréscimo de custos que deveria ter sido incluído na sua proposta;</w:t>
      </w:r>
    </w:p>
    <w:p>
      <w:pPr>
        <w:numPr>
          <w:ilvl w:val="2"/>
          <w:numId w:val="3"/>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submissão às sanções administrativas previstas neste Edital e seus ANEXOS;</w:t>
      </w:r>
    </w:p>
    <w:p>
      <w:pPr>
        <w:numPr>
          <w:ilvl w:val="2"/>
          <w:numId w:val="3"/>
        </w:numPr>
        <w:pBdr>
          <w:top w:val="nil"/>
          <w:left w:val="nil"/>
          <w:bottom w:val="nil"/>
          <w:right w:val="nil"/>
          <w:between w:val="nil"/>
        </w:pBdr>
        <w:tabs>
          <w:tab w:val="left" w:pos="426"/>
          <w:tab w:val="left" w:pos="851"/>
        </w:tabs>
        <w:ind w:left="567" w:firstLine="0"/>
        <w:jc w:val="both"/>
        <w:rPr>
          <w:rFonts w:asciiTheme="majorHAnsi" w:eastAsia="Arial" w:hAnsiTheme="majorHAnsi"/>
          <w:color w:val="000000"/>
        </w:rPr>
      </w:pPr>
      <w:r>
        <w:rPr>
          <w:rFonts w:asciiTheme="majorHAnsi" w:eastAsia="Arial" w:hAnsiTheme="majorHAnsi"/>
          <w:color w:val="000000"/>
        </w:rPr>
        <w:t>obrigação de participar ativamente do certame (ON-LINE) até a sua conclusão, encaminhando toda a documentação solicitada e/ou prestando as informações e esclarecimentos solicitados pelo Pregoeiro.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No momento do cadastro ou registro da proposta comercial eletrônica, o proponente deverá atentar para o fato de que, por razões de limitações técnicas das especificações dos materiais constantes no catálogo do “Compras Gov”, as ESPECIFICAÇÕES TÉCNICAS COMPLETAS DO OBJETO LICITADO, para efeito de formulação da proposta de preços, serão sempre aquelas constantes do Termo de Referência (anexo 01).</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Após a abertura da sessão pública eletrônica do presente certame, não cabe em nenhuma hipótese desistência de proposta.</w:t>
      </w:r>
    </w:p>
    <w:p>
      <w:pPr>
        <w:tabs>
          <w:tab w:val="left" w:pos="426"/>
        </w:tabs>
        <w:jc w:val="both"/>
        <w:rPr>
          <w:rFonts w:asciiTheme="majorHAnsi" w:eastAsia="Arial" w:hAnsiTheme="majorHAnsi"/>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DOS PREÇOS, CLASSIFICAÇÃO E CRITÉRIO DE JULGAMENTO DA PROPOSTA: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será possível a oferta de quantidades inferiores às previstas no Termo de Referência anexo ao edital.</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preços constantes da Proposta de Preços do proponente deverão conter apenas 02 (duas) casas decimais após a vírgula em seus valores globais e unitários, inclusive em propostas de adequação, quando for o caso.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preços propostos deverão estar de acordo com o quantitativo do bem cotado.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pela Pregoeira que, dentro da situação concreta, poderá agir no sentido de prospectar maior celeridade e eficiência ao julgamento.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Ocorrendo discrepância entre o preço unitário e total, prevalecerá aquele lançado no sistema e utilizado para classificação das Propostas de Preços, devendo a Pregoeira proceder às correções necessárias.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Havendo discrepância entre a especificação dos itens do edital e seus ANEXOS e aquelas lançadas no sistema, prevalecerão as especificações do edital e seus ANEXOS.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Na elaboração da Proposta, o preço cotado poderá ultrapassar o valor de referência da presente licitação discriminado no MAPA DE PREÇOS presente nos autos do processo em epígrafe. </w:t>
      </w:r>
      <w:r>
        <w:rPr>
          <w:rFonts w:asciiTheme="majorHAnsi" w:eastAsia="Arial" w:hAnsiTheme="majorHAnsi"/>
          <w:color w:val="000000"/>
        </w:rPr>
        <w:lastRenderedPageBreak/>
        <w:t xml:space="preserve">Entretanto, na disputa de lances, o lance final deverá atingir preço inferior ou igual ao limite máximo constante do Mapa de Preços; o preço unitário dos itens que compõem o lote deverá ser inferior ou igual àquele limite. </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Caso não seja realizada a disputa de lances, a proponente que cotou na proposta o menor preço deverá reduzi-lo a um valor inferior ou igual ao limite máximo acima especificado. Nesse contexto, estando a proposta inicial inferior ao estimado, a mesma deverá ser considerada.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O critério de julgamento do processo licitatório será aquele constante da parte específica do procedimento. </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Não serão adjudicadas Propostas de Preços com valores superiores à média dos preços unitários e totais estimados para a contratação, os quais se encontram definidos no Termo de Referência.</w:t>
      </w:r>
    </w:p>
    <w:p>
      <w:pPr>
        <w:numPr>
          <w:ilvl w:val="2"/>
          <w:numId w:val="29"/>
        </w:numPr>
        <w:pBdr>
          <w:top w:val="nil"/>
          <w:left w:val="nil"/>
          <w:bottom w:val="nil"/>
          <w:right w:val="nil"/>
          <w:between w:val="nil"/>
        </w:pBdr>
        <w:tabs>
          <w:tab w:val="left" w:pos="426"/>
          <w:tab w:val="left" w:pos="709"/>
        </w:tabs>
        <w:ind w:left="0" w:firstLine="0"/>
        <w:jc w:val="both"/>
        <w:rPr>
          <w:rFonts w:asciiTheme="majorHAnsi" w:eastAsia="Arial" w:hAnsiTheme="majorHAnsi"/>
          <w:color w:val="000000"/>
        </w:rPr>
      </w:pPr>
      <w:r>
        <w:rPr>
          <w:rFonts w:asciiTheme="majorHAnsi" w:eastAsia="Arial" w:hAnsiTheme="majorHAnsi"/>
          <w:color w:val="000000"/>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Pregoeiro visando o atendimento a ampliação do princípio da competitividade, bem como, munido da utilização do formalismo moderado poderá, dentro da análise de conveniência e oportunidade e ante ao caso concreto, realizar o saneamento de eventuais erros ou divergências constantes das propostas de preços, seja ela inicial ou a final (adequada).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Será desclassificada a Proposta de Preços apresentada em desconformidade com este item.</w:t>
      </w:r>
    </w:p>
    <w:p>
      <w:pPr>
        <w:keepLines/>
        <w:widowControl w:val="0"/>
        <w:pBdr>
          <w:top w:val="nil"/>
          <w:left w:val="nil"/>
          <w:bottom w:val="nil"/>
          <w:right w:val="nil"/>
          <w:between w:val="nil"/>
        </w:pBdr>
        <w:jc w:val="both"/>
        <w:rPr>
          <w:rFonts w:asciiTheme="majorHAnsi" w:eastAsia="Arial" w:hAnsiTheme="majorHAnsi"/>
          <w:color w:val="000000"/>
        </w:rPr>
      </w:pPr>
    </w:p>
    <w:p>
      <w:pPr>
        <w:pStyle w:val="Ttulo1"/>
        <w:numPr>
          <w:ilvl w:val="0"/>
          <w:numId w:val="29"/>
        </w:numPr>
        <w:ind w:left="0" w:firstLine="0"/>
        <w:rPr>
          <w:rFonts w:asciiTheme="majorHAnsi" w:hAnsiTheme="majorHAnsi" w:cs="Times New Roman"/>
        </w:rPr>
      </w:pPr>
      <w:bookmarkStart w:id="12" w:name="_heading=h.lnxbz9" w:colFirst="0" w:colLast="0"/>
      <w:bookmarkEnd w:id="12"/>
      <w:r>
        <w:rPr>
          <w:rFonts w:asciiTheme="majorHAnsi" w:hAnsiTheme="majorHAnsi" w:cs="Times New Roman"/>
        </w:rPr>
        <w:t>DOS DOCUMENTOS DE HABILITAÇÃO</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sz w:val="20"/>
          <w:szCs w:val="20"/>
        </w:rPr>
        <w:t xml:space="preserve"> </w:t>
      </w:r>
      <w:r>
        <w:rPr>
          <w:rFonts w:asciiTheme="majorHAnsi" w:eastAsia="Arial" w:hAnsiTheme="majorHAnsi"/>
          <w:color w:val="000000"/>
        </w:rPr>
        <w:t xml:space="preserve">Os documentos de habilitação previstos no Termo de Referência serão exigidos apenas do licitante cuja proposta tenha sido aceita na fase de julgamento. </w:t>
      </w:r>
    </w:p>
    <w:p>
      <w:pPr>
        <w:tabs>
          <w:tab w:val="left" w:pos="426"/>
        </w:tabs>
        <w:jc w:val="both"/>
        <w:rPr>
          <w:rFonts w:asciiTheme="majorHAnsi" w:eastAsia="Arial" w:hAnsiTheme="majorHAnsi"/>
        </w:rPr>
      </w:pPr>
      <w:r>
        <w:rPr>
          <w:rFonts w:asciiTheme="majorHAnsi" w:eastAsia="Arial" w:hAnsiTheme="majorHAnsi"/>
        </w:rPr>
        <w:t>8.1.1. Os documentos exigidos para fins de comprovação da habilitação jurídica, fiscal, social e trabalhista e econômico-ﬁnanceira, poderão ser substituídos pelo registro cadastral no SICAF.</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Os documentos necessários para comprovar a habilitação jurídica, fiscal, social e trabalhista e econômico-ﬁnanceira, caso não estejam contemplados ou válidos no SICAF e a documentação comprobatória de qualificação técnica do licitante exigidos no Termo de Referência deverão ser enviados por meio da opção “Enviar Anexo” do sistema “Compras Gov”, quando solicitados pelo Agente de Contratação. </w:t>
      </w:r>
    </w:p>
    <w:p>
      <w:pPr>
        <w:tabs>
          <w:tab w:val="left" w:pos="426"/>
        </w:tabs>
        <w:jc w:val="both"/>
        <w:rPr>
          <w:rFonts w:asciiTheme="majorHAnsi" w:eastAsia="Arial" w:hAnsiTheme="majorHAnsi"/>
        </w:rPr>
      </w:pPr>
      <w:r>
        <w:rPr>
          <w:rFonts w:asciiTheme="majorHAnsi" w:eastAsia="Arial" w:hAnsiTheme="majorHAnsi"/>
        </w:rPr>
        <w:t xml:space="preserve">8.2.1. Os documentos deverão ser apresentados em formato digital, no prazo de até 02 (duas) horas, contados da convocação efetuada pelo Agente de Contratação.  </w:t>
      </w:r>
    </w:p>
    <w:p>
      <w:pPr>
        <w:tabs>
          <w:tab w:val="left" w:pos="426"/>
        </w:tabs>
        <w:jc w:val="both"/>
        <w:rPr>
          <w:rFonts w:asciiTheme="majorHAnsi" w:eastAsia="Arial" w:hAnsiTheme="majorHAnsi"/>
        </w:rPr>
      </w:pPr>
      <w:r>
        <w:rPr>
          <w:rFonts w:asciiTheme="majorHAnsi" w:eastAsia="Arial" w:hAnsiTheme="majorHAnsi"/>
        </w:rPr>
        <w:t>8.2.1.1. É facultado ao Pregoeiro prorrogar o prazo estabelecido acima, por igual período, nas seguintes situações:</w:t>
      </w:r>
    </w:p>
    <w:p>
      <w:pPr>
        <w:tabs>
          <w:tab w:val="left" w:pos="426"/>
        </w:tabs>
        <w:jc w:val="both"/>
        <w:rPr>
          <w:rFonts w:asciiTheme="majorHAnsi" w:eastAsia="Arial" w:hAnsiTheme="majorHAnsi"/>
        </w:rPr>
      </w:pPr>
      <w:r>
        <w:rPr>
          <w:rFonts w:asciiTheme="majorHAnsi" w:eastAsia="Arial" w:hAnsiTheme="majorHAnsi"/>
        </w:rPr>
        <w:t>a) por solicitação do licitante, mediante justificativa aceita pelo Pregoeiro;</w:t>
      </w:r>
    </w:p>
    <w:p>
      <w:pPr>
        <w:tabs>
          <w:tab w:val="left" w:pos="426"/>
        </w:tabs>
        <w:jc w:val="both"/>
        <w:rPr>
          <w:rFonts w:asciiTheme="majorHAnsi" w:eastAsia="Arial" w:hAnsiTheme="majorHAnsi"/>
        </w:rPr>
      </w:pPr>
      <w:r>
        <w:rPr>
          <w:rFonts w:asciiTheme="majorHAnsi" w:eastAsia="Arial" w:hAnsiTheme="majorHAnsi"/>
        </w:rPr>
        <w:t>b) de ofício, a critério do Pregoeiro, quando constatado que o prazo estabelecido não é suficiente para o envio dos documentos exigidos.</w:t>
      </w:r>
    </w:p>
    <w:p>
      <w:pPr>
        <w:tabs>
          <w:tab w:val="left" w:pos="426"/>
        </w:tabs>
        <w:jc w:val="both"/>
        <w:rPr>
          <w:rFonts w:asciiTheme="majorHAnsi" w:eastAsia="Arial" w:hAnsiTheme="majorHAnsi"/>
        </w:rPr>
      </w:pPr>
      <w:r>
        <w:rPr>
          <w:rFonts w:asciiTheme="majorHAnsi" w:eastAsia="Arial" w:hAnsiTheme="majorHAnsi"/>
        </w:rPr>
        <w:t xml:space="preserve">8.2.2. Os documentos remetidos por meio da opção “Enviar Anexo” do sistema “Compras Gov”, poderão ser solicitados em original ou por cópia autenticada, caso haja dúvida justificada, a qualquer momento, em prazo a ser estabelecido pelo Pregoeiro. </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A verificação pelo Pregoeiro em sítios eletrônicos oficiais de órgãos e entidades emissores de certidões constitui meio legal de prova para fins de habilitação. </w:t>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Após a apresentação dos documentos de habilitação, fica vedada a substituição ou a apresentação de novos documentos, salvo em sede de diligência, para: </w:t>
      </w:r>
    </w:p>
    <w:p>
      <w:pPr>
        <w:tabs>
          <w:tab w:val="left" w:pos="426"/>
        </w:tabs>
        <w:jc w:val="both"/>
        <w:rPr>
          <w:rFonts w:asciiTheme="majorHAnsi" w:eastAsia="Arial" w:hAnsiTheme="majorHAnsi"/>
        </w:rPr>
      </w:pPr>
      <w:r>
        <w:rPr>
          <w:rFonts w:asciiTheme="majorHAnsi" w:eastAsia="Arial" w:hAnsiTheme="majorHAnsi"/>
        </w:rPr>
        <w:t xml:space="preserve">8.4.1. Complementação de informações acerca dos documentos já apresentados pelos licitantes e desde que necessária para apurar fatos existentes à época da abertura do certame; </w:t>
      </w:r>
    </w:p>
    <w:p>
      <w:pPr>
        <w:tabs>
          <w:tab w:val="left" w:pos="426"/>
        </w:tabs>
        <w:jc w:val="both"/>
        <w:rPr>
          <w:rFonts w:asciiTheme="majorHAnsi" w:eastAsia="Arial" w:hAnsiTheme="majorHAnsi"/>
        </w:rPr>
      </w:pPr>
      <w:r>
        <w:rPr>
          <w:rFonts w:asciiTheme="majorHAnsi" w:eastAsia="Arial" w:hAnsiTheme="majorHAnsi"/>
        </w:rPr>
        <w:lastRenderedPageBreak/>
        <w:t>8.4.2. Atualização de documentos cuja validade tenha expirado após a data de recebimento das propostas.</w:t>
      </w:r>
    </w:p>
    <w:p>
      <w:pPr>
        <w:tabs>
          <w:tab w:val="left" w:pos="426"/>
        </w:tabs>
        <w:jc w:val="both"/>
        <w:rPr>
          <w:rFonts w:asciiTheme="majorHAnsi" w:eastAsia="Arial" w:hAnsiTheme="majorHAnsi"/>
        </w:rPr>
      </w:pPr>
      <w:r>
        <w:rPr>
          <w:rFonts w:asciiTheme="majorHAnsi" w:eastAsia="Arial" w:hAnsiTheme="majorHAnsi"/>
        </w:rPr>
        <w:t>8.5.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p>
    <w:p>
      <w:pPr>
        <w:tabs>
          <w:tab w:val="left" w:pos="426"/>
        </w:tabs>
        <w:jc w:val="both"/>
        <w:rPr>
          <w:rFonts w:asciiTheme="majorHAnsi" w:eastAsia="Arial" w:hAnsiTheme="majorHAnsi"/>
        </w:rPr>
      </w:pPr>
      <w:r>
        <w:rPr>
          <w:rFonts w:asciiTheme="majorHAnsi" w:eastAsia="Arial" w:hAnsiTheme="majorHAnsi"/>
        </w:rPr>
        <w:t>8.6. Na hipótese de o licitante não atender às exigências para habilitação, o Pregoeiro examinará a proposta subsequente e assim sucessivamente, na ordem de classificação, até a apuração de uma proposta que atenda ao presente edital.</w:t>
      </w:r>
    </w:p>
    <w:p>
      <w:pPr>
        <w:tabs>
          <w:tab w:val="left" w:pos="426"/>
        </w:tabs>
        <w:jc w:val="both"/>
        <w:rPr>
          <w:rFonts w:asciiTheme="majorHAnsi" w:eastAsia="Arial" w:hAnsiTheme="majorHAnsi"/>
        </w:rPr>
      </w:pPr>
      <w:r>
        <w:rPr>
          <w:rFonts w:asciiTheme="majorHAnsi" w:eastAsia="Arial" w:hAnsiTheme="majorHAnsi"/>
        </w:rPr>
        <w:t>8.7. Somente serão disponibilizados para acesso público os documentos de habilitação do licitante cuja proposta atenda ao edital de licitação, após concluídos os procedimentos de que trata o subitem anterior.</w:t>
      </w:r>
    </w:p>
    <w:p>
      <w:pPr>
        <w:tabs>
          <w:tab w:val="left" w:pos="426"/>
        </w:tabs>
        <w:jc w:val="both"/>
        <w:rPr>
          <w:rFonts w:asciiTheme="majorHAnsi" w:eastAsia="Arial" w:hAnsiTheme="majorHAnsi"/>
        </w:rPr>
      </w:pPr>
      <w:r>
        <w:rPr>
          <w:rFonts w:asciiTheme="majorHAnsi" w:eastAsia="Arial" w:hAnsiTheme="majorHAnsi"/>
        </w:rPr>
        <w:t>8.8. A comprovação de regularidade fiscal e trabalhista dos beneficiários da Lei Complementar n° 123/06 somente será exigida para a adjudicação, e não como condição para participação na licitação.</w:t>
      </w:r>
    </w:p>
    <w:p>
      <w:pPr>
        <w:tabs>
          <w:tab w:val="left" w:pos="426"/>
        </w:tabs>
        <w:jc w:val="both"/>
        <w:rPr>
          <w:rFonts w:asciiTheme="majorHAnsi" w:eastAsia="Arial" w:hAnsiTheme="majorHAnsi"/>
        </w:rPr>
      </w:pPr>
      <w:r>
        <w:rPr>
          <w:rFonts w:asciiTheme="majorHAnsi" w:eastAsia="Arial" w:hAnsiTheme="majorHAnsi"/>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tabs>
          <w:tab w:val="left" w:pos="426"/>
        </w:tabs>
        <w:jc w:val="both"/>
        <w:rPr>
          <w:rFonts w:asciiTheme="majorHAnsi" w:eastAsia="Arial" w:hAnsiTheme="majorHAnsi"/>
        </w:rPr>
      </w:pPr>
      <w:r>
        <w:rPr>
          <w:rFonts w:asciiTheme="majorHAnsi" w:eastAsia="Arial" w:hAnsiTheme="majorHAnsi"/>
        </w:rPr>
        <w:t>8.8.2.  A prorrogação do prazo previsto acima deverá ser solicitada formalmente, via sistema eletrônico, dentro do prazo inicial de 05 (cinco) dias úteis concedidos para a regularização da documentação fiscal e trabalhista.</w:t>
      </w:r>
    </w:p>
    <w:p>
      <w:pPr>
        <w:tabs>
          <w:tab w:val="left" w:pos="426"/>
        </w:tabs>
        <w:jc w:val="both"/>
        <w:rPr>
          <w:rFonts w:asciiTheme="majorHAnsi" w:eastAsia="Arial" w:hAnsiTheme="majorHAnsi"/>
        </w:rPr>
      </w:pPr>
      <w:r>
        <w:rPr>
          <w:rFonts w:asciiTheme="majorHAnsi" w:eastAsia="Arial" w:hAnsiTheme="majorHAnsi"/>
        </w:rPr>
        <w:t>8.8.3. A não regularização da documentação, no prazo previsto acima, implicará decadência do direito à contratação, sem prejuízo das sanções previstas neste edital e na legislação, sendo facultado ao Pregoeiro convocar os licitantes remanescentes, na ordem de classificação.</w:t>
      </w:r>
    </w:p>
    <w:p>
      <w:pPr>
        <w:tabs>
          <w:tab w:val="left" w:pos="426"/>
        </w:tabs>
        <w:jc w:val="both"/>
        <w:rPr>
          <w:rFonts w:asciiTheme="majorHAnsi" w:eastAsia="Arial" w:hAnsiTheme="majorHAnsi"/>
        </w:rPr>
      </w:pPr>
      <w:r>
        <w:rPr>
          <w:rFonts w:asciiTheme="majorHAnsi" w:eastAsia="Arial" w:hAnsiTheme="majorHAnsi"/>
        </w:rPr>
        <w:t>8.9. Quando permitida a participação de empresas estrangeiras que não funcionem no País, as exigências de habilitação serão atendidas mediante documentos equivalentes, inicialmente apresentados em tradução livre.</w:t>
      </w:r>
    </w:p>
    <w:p>
      <w:pPr>
        <w:tabs>
          <w:tab w:val="left" w:pos="426"/>
        </w:tabs>
        <w:jc w:val="both"/>
        <w:rPr>
          <w:rFonts w:asciiTheme="majorHAnsi" w:eastAsia="Arial" w:hAnsiTheme="majorHAnsi"/>
        </w:rPr>
      </w:pPr>
      <w:r>
        <w:rPr>
          <w:rFonts w:asciiTheme="majorHAnsi" w:eastAsia="Arial" w:hAnsiTheme="majorHAnsi"/>
        </w:rPr>
        <w:t>8.9.1. Na hipótese de o licitante vencedor ser empresa estrangeira que não funcione no País, para ﬁns de assinatura do contrato,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tabs>
          <w:tab w:val="left" w:pos="426"/>
        </w:tabs>
        <w:jc w:val="both"/>
        <w:rPr>
          <w:rFonts w:asciiTheme="majorHAnsi" w:eastAsia="Arial" w:hAnsiTheme="majorHAnsi"/>
        </w:rPr>
      </w:pPr>
      <w:r>
        <w:rPr>
          <w:rFonts w:asciiTheme="majorHAnsi" w:eastAsia="Arial" w:hAnsiTheme="majorHAnsi"/>
        </w:rPr>
        <w:t>8.10. Comprovada a regularidade da habilitação, o licitante será reputado habilitado e será declarado vencedor do lote.</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pStyle w:val="Ttulo1"/>
        <w:numPr>
          <w:ilvl w:val="0"/>
          <w:numId w:val="29"/>
        </w:numPr>
        <w:ind w:left="0" w:firstLine="0"/>
        <w:rPr>
          <w:rFonts w:asciiTheme="majorHAnsi" w:hAnsiTheme="majorHAnsi" w:cs="Times New Roman"/>
        </w:rPr>
      </w:pPr>
      <w:bookmarkStart w:id="13" w:name="_heading=h.35nkun2" w:colFirst="0" w:colLast="0"/>
      <w:bookmarkEnd w:id="13"/>
      <w:r>
        <w:rPr>
          <w:rFonts w:asciiTheme="majorHAnsi" w:hAnsiTheme="majorHAnsi" w:cs="Times New Roman"/>
        </w:rPr>
        <w:t>DA SESSÃO PÚBLICA.</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DISPOSIÇÕES PRELIMINARES: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Pregão será do tipo Eletrônico o qual será realizado em sessão pública por meio da plataforma “Compras Gov”, mediante condições de segurança - criptografia e autenticação - em todas as suas fases através do Sistema de Pregão Eletrônico.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Os trabalhos serão conduzidos por servidor da Prefeitura Municipal de Miraíma/CE, agente de contratação denominado como Pregoeiro.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O proponente poderá enviar as informações da Proposta de Preços e documentos de habilitação e participar da disputa através da plataforma eletrônica.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A participação no Pregão Eletrônico dar-se-á por meio da digitação da senha pessoal e intransferível do proponente direto ou do representante credenciado e subsequente </w:t>
      </w:r>
      <w:r>
        <w:rPr>
          <w:rFonts w:asciiTheme="majorHAnsi" w:eastAsia="Arial" w:hAnsiTheme="majorHAnsi"/>
          <w:color w:val="000000"/>
        </w:rPr>
        <w:lastRenderedPageBreak/>
        <w:t>encaminhamento da proposta inicial de preços e seus ANEXOS, exclusivamente por meio da plataforma eletrônica, observados as condições e limites de data e horário estabelecidos neste Edital.</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abertura da sessão pública deste Pregão, conduzida pela Pregoeira designado ao respectivo procedimento administrativo, ocorrerá na data e na hora indicadas no preâmbulo deste Edital.</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Na hipótese de não haver expediente na data designada para a realização do ato, este será realizado no primeiro dia útil subsequente, no mesmo horário ou em outra data a ser fixada na plataforma pelo agente de contratação denominado como(a) Pregoeiro(a).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comunicação entre o(a) Pregoeiro(a) e os proponentes ocorrerá EXCLUSIVAMENTE mediante troca de mensagens, em campo próprio da plataforma eletrônica (CHAT), o qual será gerenciado diretamente pelo(a) Pregoeiro(a) e será integralmente reproduzido na Ata da Sessão Eletrônica.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Cabe ao PROPONENTE acompanhar as operações na plataforma eletrônica “Compras Gov”, anexar a PROPOSTA DE PREÇOS INICIAL, registrar os LANCES, anexar a PROPOSTA DE PREÇOS FINAL (CONSOLIDADA), a DOCUMENTAÇÃO DE HABILITAÇÃO,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não anexação ou envio da proposta comercial e documentos de habilitação exigidos no Edital (e seus ANEXOS), bem como a não anexação de documentos complementares, prestação de informações e não pronunciamento em relação à questão suscitada pelo(a) Pregoeiro(a),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Toda a Sessão Pública será documentada automaticamente pelo sistema na respectiva ATA DA SESSÃO, a qual será gerada e disponibilizada para consulta de todos os interessados por meio da plataforma eletrônica “Compras Gov”.</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Na hipótese de ocorrer desconexão do(a) Pregoeiro(a) no decorrer da Sessão e a plataforma eletrônica permanecer acessível aos proponentes, os trabalhos continuarão e os lances serão recebidos, sem qualquer prejuízo dos atos realizados.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No caso de a desconexão do(a) Pregoeiro(a) persistir por tempo superior a DEZ MINUTOS, a Sessão do Pregão será suspensa automaticamente e terá reinício somente 24h (vinte e quatro horas) após comunicação expressa aos participantes, por meio da plataforma eletrônica no sítio (http://www.compras.gov.br).</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Cabe ao proponente acompanhar continuamente os documentos, pareceres e atos divulgados ou disponibilizados por meio do Portal de Licitações do TCE/CE.</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Havendo necessidade, o(a) Pregoeiro(a) poderá suspender a Sessão com a devida comunicação prévia via CHAT, como também registrando na plataforma eletrônica “Compras Gov” a nova data e horário para a sua continuidade.</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Em face do horário, poderá o(a) Pregoeiro(a) estabelecer intervalo para almoço, sem a suspensão da Sessão, mediante comunicação prévia via CHAT.</w:t>
      </w:r>
    </w:p>
    <w:p>
      <w:pPr>
        <w:pBdr>
          <w:top w:val="nil"/>
          <w:left w:val="nil"/>
          <w:bottom w:val="nil"/>
          <w:right w:val="nil"/>
          <w:between w:val="nil"/>
        </w:pBdr>
        <w:tabs>
          <w:tab w:val="left" w:pos="426"/>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ABERTURA DAS PROPOSTAS DE PREÇOS: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 xml:space="preserve">O(A) Pregoeiro(a) realizará previamente a sessão eletrônica, a configuração quanto a operacionalização do julgamento na plataforma, informando o período para análise da(s) </w:t>
      </w:r>
      <w:r>
        <w:rPr>
          <w:rFonts w:asciiTheme="majorHAnsi" w:eastAsia="Arial" w:hAnsiTheme="majorHAnsi"/>
          <w:color w:val="000000"/>
        </w:rPr>
        <w:lastRenderedPageBreak/>
        <w:t>proposta(s) de preços inicia(l)(is), a quantidade máxima de itens e ou lotes a serem disputados simultaneamente, dentre outros parâmetros relativos à disputa.</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partir do horário estabelecido no quadro resumo (parte específica do edital) terá início a sessão pública do Pregão Eletrônico, com a abertura e divulgação dos preços das Propostas de Preços iniciais cadastradas, passando o(a) Pregoeiro(a) a realizar a fase de lances.</w:t>
      </w:r>
    </w:p>
    <w:p>
      <w:pPr>
        <w:jc w:val="both"/>
        <w:rPr>
          <w:rFonts w:asciiTheme="majorHAnsi" w:eastAsia="Arial" w:hAnsiTheme="majorHAnsi"/>
          <w:b/>
          <w:color w:val="FF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FASE DE LANCES.</w:t>
      </w: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color w:val="000000"/>
        </w:rPr>
      </w:pPr>
      <w:r>
        <w:rPr>
          <w:rFonts w:asciiTheme="majorHAnsi" w:eastAsia="Arial" w:hAnsiTheme="majorHAnsi"/>
          <w:color w:val="000000"/>
        </w:rPr>
        <w:t>A fase de lances poderá ocorrer sob o formato de disputa em modo “aberto” ou “aberto fechado”, conforme assinalado no quadro resumo constante do início do edital, devendo o licitante atentar-se quanto ao formato definido, observando, ainda:</w:t>
      </w:r>
    </w:p>
    <w:p>
      <w:pPr>
        <w:pBdr>
          <w:top w:val="nil"/>
          <w:left w:val="nil"/>
          <w:bottom w:val="nil"/>
          <w:right w:val="nil"/>
          <w:between w:val="nil"/>
        </w:pBdr>
        <w:tabs>
          <w:tab w:val="left" w:pos="426"/>
        </w:tabs>
        <w:jc w:val="both"/>
        <w:rPr>
          <w:rFonts w:asciiTheme="majorHAnsi" w:eastAsia="Arial" w:hAnsiTheme="majorHAnsi"/>
          <w:b/>
          <w:color w:val="000000"/>
        </w:rPr>
      </w:pP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 MODO DE DISPUTA ABERTO:</w:t>
      </w:r>
    </w:p>
    <w:p>
      <w:pPr>
        <w:numPr>
          <w:ilvl w:val="3"/>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No modo de disputa “ABERTO”, de que trata este edital, os proponentes apresentarão lances públicos e sucessivos, observados os seguintes procedimentos:</w:t>
      </w:r>
    </w:p>
    <w:p>
      <w:pPr>
        <w:numPr>
          <w:ilvl w:val="3"/>
          <w:numId w:val="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etapa de envio de lances na sessão pública durará DEZ MINUTOS e, após isso, será prorrogada automaticamente pelo sistema quando houver lance ofertado nos ÚLTIMOS DOIS MINUTOS do período de duração da sessão pública.</w:t>
      </w:r>
    </w:p>
    <w:p>
      <w:pPr>
        <w:numPr>
          <w:ilvl w:val="3"/>
          <w:numId w:val="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numPr>
          <w:ilvl w:val="3"/>
          <w:numId w:val="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Na hipótese de não haver novos lances na forma estabelecida nas alíneas anteriores, a sessão pública será encerrada automaticamente.</w:t>
      </w:r>
    </w:p>
    <w:p>
      <w:pPr>
        <w:pBdr>
          <w:top w:val="nil"/>
          <w:left w:val="nil"/>
          <w:bottom w:val="nil"/>
          <w:right w:val="nil"/>
          <w:between w:val="nil"/>
        </w:pBdr>
        <w:tabs>
          <w:tab w:val="left" w:pos="851"/>
        </w:tabs>
        <w:jc w:val="both"/>
        <w:rPr>
          <w:rFonts w:asciiTheme="majorHAnsi" w:eastAsia="Arial" w:hAnsiTheme="majorHAnsi"/>
          <w:b/>
          <w:color w:val="000000"/>
        </w:rPr>
      </w:pP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 MODO DE DISPUTA ABERTO E FECHADO:</w:t>
      </w:r>
    </w:p>
    <w:p>
      <w:pPr>
        <w:tabs>
          <w:tab w:val="left" w:pos="284"/>
        </w:tabs>
        <w:jc w:val="both"/>
        <w:rPr>
          <w:rFonts w:asciiTheme="majorHAnsi" w:eastAsia="Arial" w:hAnsiTheme="majorHAnsi"/>
        </w:rPr>
      </w:pPr>
      <w:r>
        <w:rPr>
          <w:rFonts w:asciiTheme="majorHAnsi" w:eastAsia="Arial" w:hAnsiTheme="majorHAnsi"/>
        </w:rPr>
        <w:t>9.3.3.1. Caso seja adotado para o envio de lances no pregão eletrônico o modo de disputa “aberto e fechado”, os licitantes apresentarão lances públicos e sucessivos, com lance final e fechado.</w:t>
      </w:r>
    </w:p>
    <w:p>
      <w:pPr>
        <w:tabs>
          <w:tab w:val="left" w:pos="284"/>
        </w:tabs>
        <w:jc w:val="both"/>
        <w:rPr>
          <w:rFonts w:asciiTheme="majorHAnsi" w:eastAsia="Arial" w:hAnsiTheme="majorHAnsi"/>
        </w:rPr>
      </w:pPr>
      <w:r>
        <w:rPr>
          <w:rFonts w:asciiTheme="majorHAnsi" w:eastAsia="Arial" w:hAnsiTheme="majorHAnsi"/>
          <w:b/>
        </w:rPr>
        <w:t>a)</w:t>
      </w:r>
      <w:r>
        <w:rPr>
          <w:rFonts w:asciiTheme="majorHAnsi" w:eastAsia="Arial" w:hAnsiTheme="majorHAnsi"/>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pPr>
        <w:tabs>
          <w:tab w:val="left" w:pos="284"/>
        </w:tabs>
        <w:jc w:val="both"/>
        <w:rPr>
          <w:rFonts w:asciiTheme="majorHAnsi" w:eastAsia="Arial" w:hAnsiTheme="majorHAnsi"/>
        </w:rPr>
      </w:pPr>
      <w:r>
        <w:rPr>
          <w:rFonts w:asciiTheme="majorHAnsi" w:eastAsia="Arial" w:hAnsiTheme="majorHAnsi"/>
          <w:b/>
        </w:rPr>
        <w:t>b)</w:t>
      </w:r>
      <w:r>
        <w:rPr>
          <w:rFonts w:asciiTheme="majorHAnsi" w:eastAsia="Arial" w:hAnsiTheme="majorHAnsi"/>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pPr>
        <w:tabs>
          <w:tab w:val="left" w:pos="284"/>
        </w:tabs>
        <w:jc w:val="both"/>
        <w:rPr>
          <w:rFonts w:asciiTheme="majorHAnsi" w:eastAsia="Arial" w:hAnsiTheme="majorHAnsi"/>
        </w:rPr>
      </w:pPr>
      <w:r>
        <w:rPr>
          <w:rFonts w:asciiTheme="majorHAnsi" w:eastAsia="Arial" w:hAnsiTheme="majorHAnsi"/>
          <w:b/>
        </w:rPr>
        <w:t xml:space="preserve">c) </w:t>
      </w:r>
      <w:r>
        <w:rPr>
          <w:rFonts w:asciiTheme="majorHAnsi" w:eastAsia="Arial" w:hAnsiTheme="majorHAnsi"/>
        </w:rPr>
        <w:t>No procedimento de que trata o subitem supra, o licitante poderá optar por manter o seu último lance da etapa aberta, ou por ofertar melhor lance.</w:t>
      </w:r>
    </w:p>
    <w:p>
      <w:pPr>
        <w:tabs>
          <w:tab w:val="left" w:pos="284"/>
        </w:tabs>
        <w:jc w:val="both"/>
        <w:rPr>
          <w:rFonts w:asciiTheme="majorHAnsi" w:eastAsia="Arial" w:hAnsiTheme="majorHAnsi"/>
        </w:rPr>
      </w:pPr>
      <w:r>
        <w:rPr>
          <w:rFonts w:asciiTheme="majorHAnsi" w:eastAsia="Arial" w:hAnsiTheme="majorHAnsi"/>
          <w:b/>
        </w:rPr>
        <w:t xml:space="preserve">d) </w:t>
      </w:r>
      <w:r>
        <w:rPr>
          <w:rFonts w:asciiTheme="majorHAnsi" w:eastAsia="Arial" w:hAnsiTheme="majorHAnsi"/>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pPr>
        <w:pBdr>
          <w:top w:val="nil"/>
          <w:left w:val="nil"/>
          <w:bottom w:val="nil"/>
          <w:right w:val="nil"/>
          <w:between w:val="nil"/>
        </w:pBdr>
        <w:tabs>
          <w:tab w:val="left" w:pos="284"/>
        </w:tabs>
        <w:jc w:val="both"/>
        <w:rPr>
          <w:rFonts w:asciiTheme="majorHAnsi" w:eastAsia="Arial" w:hAnsiTheme="majorHAnsi"/>
          <w:color w:val="000000"/>
        </w:rPr>
      </w:pPr>
      <w:r>
        <w:rPr>
          <w:rFonts w:asciiTheme="majorHAnsi" w:eastAsia="Arial" w:hAnsiTheme="majorHAnsi"/>
          <w:b/>
          <w:color w:val="000000"/>
        </w:rPr>
        <w:t>e)</w:t>
      </w:r>
      <w:r>
        <w:rPr>
          <w:rFonts w:asciiTheme="majorHAnsi" w:eastAsia="Arial" w:hAnsiTheme="majorHAnsi"/>
          <w:color w:val="000000"/>
        </w:rPr>
        <w:t xml:space="preserve"> Após o término dos prazos estabelecidos nos itens anteriores, o sistema ordenará e divulgará os lances segundo a ordem crescente de valores.</w:t>
      </w:r>
    </w:p>
    <w:p>
      <w:pPr>
        <w:pBdr>
          <w:top w:val="nil"/>
          <w:left w:val="nil"/>
          <w:bottom w:val="nil"/>
          <w:right w:val="nil"/>
          <w:between w:val="nil"/>
        </w:pBdr>
        <w:tabs>
          <w:tab w:val="left" w:pos="284"/>
        </w:tabs>
        <w:jc w:val="both"/>
        <w:rPr>
          <w:rFonts w:asciiTheme="majorHAnsi" w:eastAsia="Arial" w:hAnsiTheme="majorHAnsi"/>
          <w:color w:val="000000"/>
        </w:rPr>
      </w:pP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 MODO DE DISPUTA FECHADO E ABERTO:</w:t>
      </w:r>
    </w:p>
    <w:p>
      <w:pPr>
        <w:pBdr>
          <w:top w:val="nil"/>
          <w:left w:val="nil"/>
          <w:bottom w:val="nil"/>
          <w:right w:val="nil"/>
          <w:between w:val="nil"/>
        </w:pBdr>
        <w:tabs>
          <w:tab w:val="left" w:pos="284"/>
        </w:tabs>
        <w:jc w:val="both"/>
        <w:rPr>
          <w:rFonts w:asciiTheme="majorHAnsi" w:eastAsia="Arial" w:hAnsiTheme="majorHAnsi"/>
          <w:color w:val="000000"/>
        </w:rPr>
      </w:pPr>
      <w:r>
        <w:rPr>
          <w:rFonts w:asciiTheme="majorHAnsi" w:eastAsia="Arial" w:hAnsiTheme="majorHAnsi"/>
          <w:color w:val="000000"/>
        </w:rPr>
        <w:t>9.3.4.1. 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p>
    <w:p>
      <w:pPr>
        <w:tabs>
          <w:tab w:val="left" w:pos="284"/>
        </w:tabs>
        <w:jc w:val="both"/>
        <w:rPr>
          <w:rFonts w:asciiTheme="majorHAnsi" w:eastAsia="Arial" w:hAnsiTheme="majorHAnsi"/>
        </w:rPr>
      </w:pPr>
      <w:r>
        <w:rPr>
          <w:rFonts w:asciiTheme="majorHAnsi" w:eastAsia="Arial" w:hAnsiTheme="majorHAnsi"/>
          <w:b/>
        </w:rPr>
        <w:lastRenderedPageBreak/>
        <w:t>a)</w:t>
      </w:r>
      <w:r>
        <w:rPr>
          <w:rFonts w:asciiTheme="majorHAnsi" w:eastAsia="Arial" w:hAnsiTheme="majorHAnsi"/>
        </w:rPr>
        <w:t xml:space="preserve"> Não havendo pelo menos 3 (três) propostas nas condições definidas no item 9.3.4.1, poderão os licitantes que apresentaram as três melhores propostas, consideradas as empatadas, oferecer novos lances sucessivos.</w:t>
      </w:r>
    </w:p>
    <w:p>
      <w:pPr>
        <w:tabs>
          <w:tab w:val="left" w:pos="284"/>
        </w:tabs>
        <w:jc w:val="both"/>
        <w:rPr>
          <w:rFonts w:asciiTheme="majorHAnsi" w:eastAsia="Arial" w:hAnsiTheme="majorHAnsi"/>
        </w:rPr>
      </w:pPr>
      <w:r>
        <w:rPr>
          <w:rFonts w:asciiTheme="majorHAnsi" w:eastAsia="Arial" w:hAnsiTheme="majorHAnsi"/>
          <w:b/>
        </w:rPr>
        <w:t>b)</w:t>
      </w:r>
      <w:r>
        <w:rPr>
          <w:rFonts w:asciiTheme="majorHAnsi" w:eastAsia="Arial" w:hAnsiTheme="majorHAnsi"/>
        </w:rPr>
        <w:t xml:space="preserve"> A etapa de lances da sessão pública terá duração de dez minutos e, após isso, será prorrogada automaticamente pelo sistema quando houver lance ofertado nos últimos dois minutos do período de duração da sessão pública.</w:t>
      </w:r>
    </w:p>
    <w:p>
      <w:pPr>
        <w:tabs>
          <w:tab w:val="left" w:pos="284"/>
        </w:tabs>
        <w:jc w:val="both"/>
        <w:rPr>
          <w:rFonts w:asciiTheme="majorHAnsi" w:eastAsia="Arial" w:hAnsiTheme="majorHAnsi"/>
        </w:rPr>
      </w:pPr>
      <w:r>
        <w:rPr>
          <w:rFonts w:asciiTheme="majorHAnsi" w:eastAsia="Arial" w:hAnsiTheme="majorHAnsi"/>
          <w:b/>
        </w:rPr>
        <w:t>c)</w:t>
      </w:r>
      <w:r>
        <w:rPr>
          <w:rFonts w:asciiTheme="majorHAnsi" w:eastAsia="Arial" w:hAnsiTheme="majorHAnsi"/>
        </w:rPr>
        <w:t xml:space="preserve"> A prorrogação automática da etapa de lances, de que trata o subitem anterior, será de dois minutos e ocorrerá sucessivamente sempre que houver lances enviados nesse período de prorrogação, inclusive no caso de lances intermediários.</w:t>
      </w:r>
    </w:p>
    <w:p>
      <w:pPr>
        <w:tabs>
          <w:tab w:val="left" w:pos="284"/>
        </w:tabs>
        <w:jc w:val="both"/>
        <w:rPr>
          <w:rFonts w:asciiTheme="majorHAnsi" w:eastAsia="Arial" w:hAnsiTheme="majorHAnsi"/>
        </w:rPr>
      </w:pPr>
      <w:r>
        <w:rPr>
          <w:rFonts w:asciiTheme="majorHAnsi" w:eastAsia="Arial" w:hAnsiTheme="majorHAnsi"/>
          <w:b/>
        </w:rPr>
        <w:t>d)</w:t>
      </w:r>
      <w:r>
        <w:rPr>
          <w:rFonts w:asciiTheme="majorHAnsi" w:eastAsia="Arial" w:hAnsiTheme="majorHAnsi"/>
        </w:rPr>
        <w:t xml:space="preserve"> Não havendo novos lances na forma estabelecida nos itens anteriores, a sessão pública encerrar-se-á automaticamente, e o sistema ordenará e divulgará os lances conforme a ordem final de classificação.</w:t>
      </w:r>
    </w:p>
    <w:p>
      <w:pPr>
        <w:tabs>
          <w:tab w:val="left" w:pos="284"/>
        </w:tabs>
        <w:jc w:val="both"/>
        <w:rPr>
          <w:rFonts w:asciiTheme="majorHAnsi" w:eastAsia="Arial" w:hAnsiTheme="majorHAnsi"/>
        </w:rPr>
      </w:pPr>
      <w:r>
        <w:rPr>
          <w:rFonts w:asciiTheme="majorHAnsi" w:eastAsia="Arial" w:hAnsiTheme="majorHAnsi"/>
          <w:b/>
        </w:rPr>
        <w:t>e)</w:t>
      </w:r>
      <w:r>
        <w:rPr>
          <w:rFonts w:asciiTheme="majorHAnsi" w:eastAsia="Arial" w:hAnsiTheme="majorHAnsi"/>
        </w:rPr>
        <w:t xml:space="preserve"> Definida a melhor proposta, se a diferença em relação à proposta classificada em segundo lugar for de pelo menos 5% (cinco por cento), o Agente de Contratação, auxiliado pela equipe de apoio, poderá admitir o reinício da disputa aberta, para a definição das demais colocações.</w:t>
      </w:r>
    </w:p>
    <w:p>
      <w:pPr>
        <w:tabs>
          <w:tab w:val="left" w:pos="284"/>
        </w:tabs>
        <w:jc w:val="both"/>
        <w:rPr>
          <w:rFonts w:asciiTheme="majorHAnsi" w:eastAsia="Arial" w:hAnsiTheme="majorHAnsi"/>
        </w:rPr>
      </w:pPr>
      <w:r>
        <w:rPr>
          <w:rFonts w:asciiTheme="majorHAnsi" w:eastAsia="Arial" w:hAnsiTheme="majorHAnsi"/>
          <w:b/>
        </w:rPr>
        <w:t>f)</w:t>
      </w:r>
      <w:r>
        <w:rPr>
          <w:rFonts w:asciiTheme="majorHAnsi" w:eastAsia="Arial" w:hAnsiTheme="majorHAnsi"/>
        </w:rPr>
        <w:t xml:space="preserve"> Após o reinício previsto no subitem supra, os licitantes serão convocados para apresentar lances intermediários. </w:t>
      </w:r>
    </w:p>
    <w:p>
      <w:pPr>
        <w:pBdr>
          <w:top w:val="nil"/>
          <w:left w:val="nil"/>
          <w:bottom w:val="nil"/>
          <w:right w:val="nil"/>
          <w:between w:val="nil"/>
        </w:pBdr>
        <w:tabs>
          <w:tab w:val="left" w:pos="851"/>
        </w:tabs>
        <w:jc w:val="both"/>
        <w:rPr>
          <w:rFonts w:asciiTheme="majorHAnsi" w:eastAsia="Arial" w:hAnsiTheme="majorHAnsi"/>
          <w:color w:val="000000"/>
        </w:rPr>
      </w:pPr>
    </w:p>
    <w:p>
      <w:pPr>
        <w:numPr>
          <w:ilvl w:val="2"/>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ORIENTAÇÕES GERAIS SOBRE OS LANCES:</w:t>
      </w:r>
    </w:p>
    <w:p>
      <w:pPr>
        <w:numPr>
          <w:ilvl w:val="3"/>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 xml:space="preserve">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 </w:t>
      </w:r>
    </w:p>
    <w:p>
      <w:pPr>
        <w:numPr>
          <w:ilvl w:val="3"/>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Para efeito de lances, o proponente deverá considerar o valor unitário do item.</w:t>
      </w:r>
    </w:p>
    <w:p>
      <w:pPr>
        <w:numPr>
          <w:ilvl w:val="3"/>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Os proponentes poderão ofertar lances sucessivos, desde que inferiores ao seu último lance registrado no Sistema, ainda que este seja maior que o menor lance já ofertado por outro(s) proponente.</w:t>
      </w:r>
    </w:p>
    <w:p>
      <w:pPr>
        <w:numPr>
          <w:ilvl w:val="3"/>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O intervalo mínimo de diferença de valores entre os lances, que incidirá tanto em relação aos lances intermediários quanto em relação à proposta que cobrir a melhor oferta deverá ser de 0,1%, conforme previsto no Art. 57, da lei 14.133/21.</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Durante a sessão pública de disputa, os proponentes serão informados, em tempo real, do valor do menor lance registrado. O Sistema não identificará o autor dos lances ao(à) Pregoeiro(a) nem aos demais participantes.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Aberta a etapa competitiva, os representantes dos PROPONENTES deverão estar conectados ao sistema para participar da sessão de lances. É de inteira responsabilidade do proponente se manter conectado ao sistema e acompanhar a fase competitiva.</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Os lances serão ofertados item/lote a item/lote, conforme critério de julgamento definido, podendo, contudo, o(a) Pregoeiro(a) realizar a abertura de mais de um item/lote de forma simultânea. </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Não serão aceitos dois ou mais lances iguais, prevalecendo aquele que for recebido e registrado primeiro.</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Quando o preço do item/lote ofertado resultar em um valor unitário que possua mais de 02 (duas) casas decimais, serão consideradas apenas as 02 (duas) primeiras casas decimais (centavos), devendo o(a) Pregoeiro(a) e o proponente vencedor proceder às adequações de preço necessárias, inclusive por ocasião da entrega Proposta de Preços final consolidada.</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Na hipótese de a plataforma eletrônica desconectar para o(a) Pregoeiro(a) no decorrer da etapa de envio de lances da sessão pública e permanecer acessível aos proponentes, os lances continuarão sendo recebidos, sem prejuízo dos atos realizados.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Quando a desconexão da plataforma eletrônica para o(a) Pregoeiro(a) persistir por tempo superior a dez minutos, a sessão pública será suspensa e reiniciada somente decorridas vinte e quatro horas após a comunicação do fato aos participantes, no sítio eletrônico utilizado para divulgação.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Na hipótese dos subitens anteriores, a ocorrência será registrada em campo próprio do sistema.</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Caso o proponente não apresente lances, concorrerá com o valor de sua proposta e, na hipótese de desistência de apresentar outros lances, valerá o último lance por ele ofertado, para efeito de ordenação das propostas.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O Sistema informará a proposta de menor preço ao encerrar a fase de disputa. </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Os lances apresentados e levados em consideração para efeito de julgamento serão de exclusiva e total responsabilidade de cada proponente, não lhe cabendo o direito de pleitear qualquer alteração posterior.</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Durante a etapa de disputa de lances, o(a) Pregoeiro(a)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Bdr>
          <w:top w:val="nil"/>
          <w:left w:val="nil"/>
          <w:bottom w:val="nil"/>
          <w:right w:val="nil"/>
          <w:between w:val="nil"/>
        </w:pBdr>
        <w:tabs>
          <w:tab w:val="left" w:pos="426"/>
        </w:tabs>
        <w:jc w:val="both"/>
        <w:rPr>
          <w:rFonts w:asciiTheme="majorHAnsi" w:eastAsia="Arial" w:hAnsiTheme="majorHAnsi"/>
          <w:b/>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DIREITO DE PREFERÊNCIA E APLICAÇÃO DOS CRITÉRIOS DE DESEMPATE</w:t>
      </w:r>
    </w:p>
    <w:p>
      <w:pPr>
        <w:pBdr>
          <w:top w:val="nil"/>
          <w:left w:val="nil"/>
          <w:bottom w:val="nil"/>
          <w:right w:val="nil"/>
          <w:between w:val="nil"/>
        </w:pBdr>
        <w:jc w:val="center"/>
        <w:rPr>
          <w:rFonts w:asciiTheme="majorHAnsi" w:eastAsia="Arial" w:hAnsiTheme="majorHAnsi"/>
          <w:b/>
          <w:color w:val="000000"/>
          <w:u w:val="single"/>
        </w:rPr>
      </w:pPr>
    </w:p>
    <w:p>
      <w:pPr>
        <w:pBdr>
          <w:top w:val="nil"/>
          <w:left w:val="nil"/>
          <w:bottom w:val="nil"/>
          <w:right w:val="nil"/>
          <w:between w:val="nil"/>
        </w:pBdr>
        <w:shd w:val="clear" w:color="auto" w:fill="F2F2F2"/>
        <w:jc w:val="center"/>
        <w:rPr>
          <w:rFonts w:asciiTheme="majorHAnsi" w:eastAsia="Arial" w:hAnsiTheme="majorHAnsi"/>
          <w:b/>
          <w:color w:val="000000"/>
          <w:u w:val="single"/>
        </w:rPr>
      </w:pPr>
      <w:r>
        <w:rPr>
          <w:rFonts w:asciiTheme="majorHAnsi" w:eastAsia="Arial" w:hAnsiTheme="majorHAnsi"/>
          <w:b/>
          <w:color w:val="000000"/>
          <w:u w:val="single"/>
        </w:rPr>
        <w:t>DIREITOS DE PREFERÊNCIA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Após a etapa de envio de lances, haverá a aplicação dos critérios de desempate previstos nos art. 44 e art. 45 da Lei Complementar nº 123, de 14 de dezembro de 2006, seguido da aplicação dos critérios estabelecidos no caput do art. 60º da Lei nº 14.133/2021 de 1º de abril de 2021, se não houver proponente que atenda à primeira hipótese.</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Em relação aos itens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da primeira colocada, se esta for empresa de maior porte, assim como das demais classificadas, para o fim de aplicar-se o disposto nos arts. 44 e 45 da LC nº123, de 2006.</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Os critérios de desempate serão aplicados nos termos do item 9.4.10, caso não haja envio de lances após o início da fase competitiva. Nessas condições, as propostas de Microempresa - ME, Empresas de Pequeno Porte - EPP e equiparadas que se encontrarem na faixa de até 5% (cinco por cento) acima da proposta ou lance de menor preço serão consideradas empatadas com a primeira colocada.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Caso a microempresa, empresa de pequeno porte ou equiparada melhor classificada desista ou não se manifeste no prazo estabelecido, serão convocadas as demais proponentes microempresa, empresa de pequeno porte e equiparada que se encontrem naquele intervalo de 5% (cinco por cento), na ordem de classificação, para o exercício do mesmo direito, no prazo estabelecido no subitem anterior.</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No caso de equivalência dos valores apresentados pela microempresa, empresa de pequeno porte e equiparados que se encontrem em situação de empate, será realizado sorteio para que se identifique a primeira que poderá apresentar melhor oferta.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lastRenderedPageBreak/>
        <w:t>Na hipótese de persistir o empate, a proposta vencedora será sorteada pela plataforma eletrônica dentre as propostas empatadas.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Na hipótese de nenhum dos proponentes exercerem o direito de preferência nos moldes descritos no subitem anterior, será mantida a ordem classificatória original. </w:t>
      </w:r>
    </w:p>
    <w:p>
      <w:pPr>
        <w:pBdr>
          <w:top w:val="nil"/>
          <w:left w:val="nil"/>
          <w:bottom w:val="nil"/>
          <w:right w:val="nil"/>
          <w:between w:val="nil"/>
        </w:pBdr>
        <w:tabs>
          <w:tab w:val="left" w:pos="-1701"/>
        </w:tabs>
        <w:jc w:val="both"/>
        <w:rPr>
          <w:rFonts w:asciiTheme="majorHAnsi" w:eastAsia="Arial" w:hAnsiTheme="majorHAnsi"/>
          <w:b/>
          <w:color w:val="000000"/>
        </w:rPr>
      </w:pPr>
    </w:p>
    <w:p>
      <w:pPr>
        <w:numPr>
          <w:ilvl w:val="2"/>
          <w:numId w:val="29"/>
        </w:numPr>
        <w:pBdr>
          <w:top w:val="nil"/>
          <w:left w:val="nil"/>
          <w:bottom w:val="nil"/>
          <w:right w:val="nil"/>
          <w:between w:val="nil"/>
        </w:pBdr>
        <w:ind w:left="0" w:firstLine="0"/>
        <w:jc w:val="both"/>
        <w:rPr>
          <w:rFonts w:asciiTheme="majorHAnsi" w:eastAsia="Arial" w:hAnsiTheme="majorHAnsi"/>
          <w:b/>
          <w:color w:val="000000"/>
        </w:rPr>
      </w:pPr>
      <w:r>
        <w:rPr>
          <w:rFonts w:asciiTheme="majorHAnsi" w:eastAsia="Arial" w:hAnsiTheme="majorHAnsi"/>
          <w:b/>
          <w:color w:val="000000"/>
        </w:rPr>
        <w:t>Verificação das condições quanto ao tratamento diferenciado:</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bookmarkStart w:id="14" w:name="_heading=h.1ksv4uv" w:colFirst="0" w:colLast="0"/>
      <w:bookmarkEnd w:id="14"/>
      <w:r>
        <w:rPr>
          <w:rFonts w:asciiTheme="majorHAnsi" w:eastAsia="Arial" w:hAnsiTheme="majorHAnsi"/>
          <w:color w:val="000000"/>
        </w:rPr>
        <w:t>Como condição prévia à aceitação da proposta, caso o proponente detentor da proposta classificada em primeiro lugar tenha usufruído do tratamento diferenciado previsto nos artigos 44 e 45 da Lei Complementar n° 123, de 2006, o(a) Pregoeiro(a)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10">
        <w:r>
          <w:rPr>
            <w:rFonts w:asciiTheme="majorHAnsi" w:eastAsia="Arial" w:hAnsiTheme="majorHAnsi"/>
            <w:color w:val="000000"/>
          </w:rPr>
          <w:t>http://municipios.tce.ce.gov.br/transparencia/</w:t>
        </w:r>
      </w:hyperlink>
      <w:r>
        <w:rPr>
          <w:rFonts w:asciiTheme="majorHAnsi" w:eastAsia="Arial" w:hAnsiTheme="majorHAnsi"/>
          <w:color w:val="000000"/>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o(a) Pregoeiro(a)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Constatada a ocorrência de qualquer das situações que extrapolem o limite legal, o(a) Pregoeiro(a) indeferirá a aplicação do tratamento diferenciado em favor do proponente, conforme artigo 3°, §§9°, 9°-A,10 e 12, da Lei Complementar n°123, de 2006 e no Art. 4°, §2°da Lei 14.133/21 com a consequente recusa das condições quanto ao tratamento diferenciado, sem prejuízo das penalidades incidentes.</w:t>
      </w:r>
    </w:p>
    <w:p>
      <w:pPr>
        <w:pBdr>
          <w:top w:val="nil"/>
          <w:left w:val="nil"/>
          <w:bottom w:val="nil"/>
          <w:right w:val="nil"/>
          <w:between w:val="nil"/>
        </w:pBdr>
        <w:tabs>
          <w:tab w:val="left" w:pos="-1701"/>
        </w:tabs>
        <w:jc w:val="both"/>
        <w:rPr>
          <w:rFonts w:asciiTheme="majorHAnsi" w:eastAsia="Arial" w:hAnsiTheme="majorHAnsi"/>
          <w:b/>
          <w:color w:val="000000"/>
        </w:rPr>
      </w:pPr>
    </w:p>
    <w:p>
      <w:pPr>
        <w:pBdr>
          <w:top w:val="nil"/>
          <w:left w:val="nil"/>
          <w:bottom w:val="nil"/>
          <w:right w:val="nil"/>
          <w:between w:val="nil"/>
        </w:pBdr>
        <w:shd w:val="clear" w:color="auto" w:fill="F2F2F2"/>
        <w:tabs>
          <w:tab w:val="left" w:pos="-1701"/>
        </w:tabs>
        <w:jc w:val="center"/>
        <w:rPr>
          <w:rFonts w:asciiTheme="majorHAnsi" w:eastAsia="Arial" w:hAnsiTheme="majorHAnsi"/>
          <w:b/>
          <w:color w:val="000000"/>
          <w:u w:val="single"/>
        </w:rPr>
      </w:pPr>
      <w:r>
        <w:rPr>
          <w:rFonts w:asciiTheme="majorHAnsi" w:eastAsia="Arial" w:hAnsiTheme="majorHAnsi"/>
          <w:b/>
          <w:color w:val="000000"/>
          <w:u w:val="single"/>
        </w:rPr>
        <w:t>CRITÉRIOS DE DESEMPATE</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Havendo eventual empate entre propostas ou lances em que ocorra a aplicação dos CRITÉRIOS DE DESEMPATE E DIREITO DE PREFERÊNCIA fixados no art. 60, caput e seu § 1º, da Lei nº 14.133/2021, respectivamente, deverá ser obedecida as seguintes regras:</w:t>
      </w:r>
    </w:p>
    <w:p>
      <w:pPr>
        <w:numPr>
          <w:ilvl w:val="0"/>
          <w:numId w:val="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Em caso de empate entre duas ou mais propostas, serão utilizados os seguintes critérios de desempate, nesta ordem:</w:t>
      </w:r>
    </w:p>
    <w:p>
      <w:pPr>
        <w:numPr>
          <w:ilvl w:val="2"/>
          <w:numId w:val="6"/>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disputa final, hipótese em que os proponentes empatados poderão apresentar nova proposta em ato contínuo à classificação;</w:t>
      </w:r>
    </w:p>
    <w:p>
      <w:pPr>
        <w:numPr>
          <w:ilvl w:val="2"/>
          <w:numId w:val="6"/>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avaliação do desempenho contratual prévio dos proponentes, para a qual deverão preferencialmente ser utilizados registros cadastrais para efeito de atesto de cumprimento de obrigações previstos nesta Lei;</w:t>
      </w:r>
    </w:p>
    <w:p>
      <w:pPr>
        <w:numPr>
          <w:ilvl w:val="2"/>
          <w:numId w:val="6"/>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desenvolvimento pelo proponente de ações de equidade entre homens e mulheres no ambiente de trabalho, conforme regulamento;</w:t>
      </w:r>
    </w:p>
    <w:p>
      <w:pPr>
        <w:numPr>
          <w:ilvl w:val="2"/>
          <w:numId w:val="6"/>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desenvolvimento pelo proponente de programa de integridade, conforme orientações dos órgãos de controle.</w:t>
      </w:r>
    </w:p>
    <w:p>
      <w:pPr>
        <w:numPr>
          <w:ilvl w:val="0"/>
          <w:numId w:val="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lastRenderedPageBreak/>
        <w:t>Em igualdade de condições, se não houver desempate, será assegurada preferência, sucessivamente, aos bens e serviços produzidos ou prestados por:</w:t>
      </w:r>
    </w:p>
    <w:p>
      <w:pPr>
        <w:numPr>
          <w:ilvl w:val="2"/>
          <w:numId w:val="7"/>
        </w:numPr>
        <w:pBdr>
          <w:top w:val="nil"/>
          <w:left w:val="nil"/>
          <w:bottom w:val="nil"/>
          <w:right w:val="nil"/>
          <w:between w:val="nil"/>
        </w:pBdr>
        <w:tabs>
          <w:tab w:val="left" w:pos="567"/>
        </w:tabs>
        <w:ind w:left="567" w:firstLine="0"/>
        <w:jc w:val="both"/>
        <w:rPr>
          <w:rFonts w:asciiTheme="majorHAnsi" w:eastAsia="Arial" w:hAnsiTheme="majorHAnsi"/>
          <w:color w:val="000000"/>
        </w:rPr>
      </w:pPr>
      <w:r>
        <w:rPr>
          <w:rFonts w:asciiTheme="majorHAnsi" w:eastAsia="Arial" w:hAnsiTheme="majorHAnsi"/>
          <w:color w:val="000000"/>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numPr>
          <w:ilvl w:val="2"/>
          <w:numId w:val="7"/>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Empresas brasileiras;</w:t>
      </w:r>
    </w:p>
    <w:p>
      <w:pPr>
        <w:numPr>
          <w:ilvl w:val="2"/>
          <w:numId w:val="7"/>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Empresas que invistam em pesquisa e no desenvolvimento de tecnologia no País;</w:t>
      </w:r>
    </w:p>
    <w:p>
      <w:pPr>
        <w:numPr>
          <w:ilvl w:val="2"/>
          <w:numId w:val="7"/>
        </w:numPr>
        <w:pBdr>
          <w:top w:val="nil"/>
          <w:left w:val="nil"/>
          <w:bottom w:val="nil"/>
          <w:right w:val="nil"/>
          <w:between w:val="nil"/>
        </w:pBdr>
        <w:tabs>
          <w:tab w:val="left" w:pos="851"/>
        </w:tabs>
        <w:ind w:left="567" w:firstLine="0"/>
        <w:jc w:val="both"/>
        <w:rPr>
          <w:rFonts w:asciiTheme="majorHAnsi" w:eastAsia="Arial" w:hAnsiTheme="majorHAnsi"/>
          <w:color w:val="000000"/>
        </w:rPr>
      </w:pPr>
      <w:r>
        <w:rPr>
          <w:rFonts w:asciiTheme="majorHAnsi" w:eastAsia="Arial" w:hAnsiTheme="majorHAnsi"/>
          <w:color w:val="000000"/>
        </w:rPr>
        <w:t>Empresas que comprovem a prática de mitigação, nos termos da Lei nº 12.187, de 29 de dezembro de 2009.</w:t>
      </w:r>
    </w:p>
    <w:p>
      <w:pPr>
        <w:numPr>
          <w:ilvl w:val="0"/>
          <w:numId w:val="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As regras previstas nas alíneas acima não prejudicarão a aplicação do disposto no art. 44 da Lei Complementar nº 123, de 14 de dezembro de 2006.</w:t>
      </w:r>
    </w:p>
    <w:p>
      <w:pPr>
        <w:pBdr>
          <w:top w:val="nil"/>
          <w:left w:val="nil"/>
          <w:bottom w:val="nil"/>
          <w:right w:val="nil"/>
          <w:between w:val="nil"/>
        </w:pBdr>
        <w:jc w:val="both"/>
        <w:rPr>
          <w:rFonts w:asciiTheme="majorHAnsi" w:eastAsia="Arial" w:hAnsiTheme="majorHAnsi"/>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NEGOCIAÇÃO:</w:t>
      </w:r>
    </w:p>
    <w:p>
      <w:pPr>
        <w:numPr>
          <w:ilvl w:val="2"/>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Apurada a proposta/lance classificado em primeiro lugar, o(a) Pregoeiro(a) poderá encaminhar, pela plataforma eletrônica, contra proposta ao proponente para que seja obtido melhor preço, observado o critério de julgamento, não se admitindo negociar condições diferentes daquelas previstas neste Edital.</w:t>
      </w:r>
    </w:p>
    <w:p>
      <w:pPr>
        <w:numPr>
          <w:ilvl w:val="2"/>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negociação será realizada por meio do sistema, podendo ser acompanhada pelos demais proponentes.</w:t>
      </w:r>
    </w:p>
    <w:p>
      <w:pPr>
        <w:numPr>
          <w:ilvl w:val="2"/>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Após a negociação do preço, o (a) Pregoeiro(a) solicitará a proposta de preços final (consolidada) devidamente escoimada do(s) proponente(s) vencedor(es).</w:t>
      </w:r>
    </w:p>
    <w:p>
      <w:pPr>
        <w:pBdr>
          <w:top w:val="nil"/>
          <w:left w:val="nil"/>
          <w:bottom w:val="nil"/>
          <w:right w:val="nil"/>
          <w:between w:val="nil"/>
        </w:pBdr>
        <w:tabs>
          <w:tab w:val="left" w:pos="-1701"/>
          <w:tab w:val="left" w:pos="809"/>
        </w:tabs>
        <w:jc w:val="both"/>
        <w:rPr>
          <w:rFonts w:asciiTheme="majorHAnsi" w:eastAsia="Arial" w:hAnsiTheme="majorHAnsi"/>
          <w:b/>
          <w:color w:val="FF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APRESENTAÇÃO DA PROPOSTA DE PREÇOS FINAL (CONSOLIDADA):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Encerrada a fase de lances e ou negociação, depois de declarado aceito o preço proposto quanto ao último lance ou ao valor negociado, o proponente vencedor deverá encaminhar proposta de preços final (consolidada), devidamente assinada, com os preços atualizados, no prazo máximo de até </w:t>
      </w:r>
      <w:r>
        <w:rPr>
          <w:rFonts w:asciiTheme="majorHAnsi" w:eastAsia="Arial" w:hAnsiTheme="majorHAnsi"/>
          <w:b/>
          <w:color w:val="000000"/>
        </w:rPr>
        <w:t>02 (duas) horas</w:t>
      </w:r>
      <w:r>
        <w:rPr>
          <w:rFonts w:asciiTheme="majorHAnsi" w:eastAsia="Arial" w:hAnsiTheme="majorHAnsi"/>
          <w:color w:val="000000"/>
        </w:rPr>
        <w:t>, contado da solicitação do(a) Pregoeiro(a) no sistema.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Esse prazo poderá ser estendido e/ou prorrogado a critério do(a) Pregoeiro(a) ou a pedido da autoridade competente, caso este constate a necessidade de maior tempo para elaboração da proposta de preço adequada.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Proposta de preços final (consolidada) deverá ser apresentada nos mesmos padrões e formalidades exigidas a proposta de preços inicial.</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Proposta de Preços final (consolidada) deverá retratar os preços unitários e totais de cada item ao novo valor proposto, atualizados em consonância com o preço obtido após a fase de lance/negociação, podendo, o(a) Pregoeiro(a) confrontá-la ante a proposta de preços (inicial).</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numPr>
          <w:ilvl w:val="2"/>
          <w:numId w:val="29"/>
        </w:numPr>
        <w:pBdr>
          <w:top w:val="nil"/>
          <w:left w:val="nil"/>
          <w:bottom w:val="nil"/>
          <w:right w:val="nil"/>
          <w:between w:val="nil"/>
        </w:pBdr>
        <w:ind w:left="0" w:firstLine="0"/>
        <w:jc w:val="both"/>
        <w:rPr>
          <w:rFonts w:asciiTheme="majorHAnsi" w:eastAsia="Arial" w:hAnsiTheme="majorHAnsi"/>
          <w:b/>
          <w:color w:val="000000"/>
        </w:rPr>
      </w:pPr>
      <w:r>
        <w:rPr>
          <w:rFonts w:asciiTheme="majorHAnsi" w:eastAsia="Arial" w:hAnsiTheme="majorHAnsi"/>
          <w:color w:val="000000"/>
        </w:rPr>
        <w:t xml:space="preserve">A proposta de preços final (consolidada) deverá possuir redução proporcional ao lance ofertado em todos os Itens e ou lotes/grupos, conforme critério de julgamento definido. </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proponente deverá evitar que os valores globais extrapolem o número de 02 (duas) casas decimais após a vírgula. Caso isto ocorra, o (a) Pregoeiro (a) estará autorizado a adjudicar o objeto realizando arredondamentos a menor no valor cotado.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qualquer momento, o(a) Pregoeiro(a) poderá solicitar parecer, consultas, análises e verificações por parte de técnicos pertencentes ao quadro de pessoal do Município de Miraíma/CE ou da autoridade competente para fins de avaliação da conformidade do objeto cotado às especificações técnicas contidas no Termo de Referência.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lastRenderedPageBreak/>
        <w:t>Será DESCLASSIFICADA, por despacho fundamentado, a proposta do licitante que, ressalvadas as situações e procedimentos previstos nos itens 9.6.9.3 e 9.6.9.4 deste Edital:</w:t>
      </w:r>
    </w:p>
    <w:p>
      <w:pPr>
        <w:numPr>
          <w:ilvl w:val="3"/>
          <w:numId w:val="1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Deixar de comprovar requisito para fins de exercício de DIREITO DE PREFERÊNCIA (se for o caso);</w:t>
      </w:r>
    </w:p>
    <w:p>
      <w:pPr>
        <w:numPr>
          <w:ilvl w:val="3"/>
          <w:numId w:val="1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Deixar de indicar, anexar ou comprovar as informações exigidas neste Edital (e seus ANEXOS) que prejudiquem a Avaliação da qualidade do objeto proposto;</w:t>
      </w:r>
    </w:p>
    <w:p>
      <w:pPr>
        <w:numPr>
          <w:ilvl w:val="3"/>
          <w:numId w:val="1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Indique objeto que não atenda a todas as exigências de qualidade, amostras e às especificações técnicas contidas no Termo de Referência (anexo 01);</w:t>
      </w:r>
    </w:p>
    <w:p>
      <w:pPr>
        <w:numPr>
          <w:ilvl w:val="3"/>
          <w:numId w:val="1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Não contenha a quantidade numérica e unidade métrica exigidas no Termo de Referência (anexo 01).</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Será CLASSIFICADA a proposta que atenda satisfatoriamente a todas as exigências fixadas no Edital e seus ANEXOS, bem como cujo objeto proposto esteja tecnicamente conforme com as especificações mínimas exigidas no Termo de Referência (anexo 01).</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 a proposta for DESCLASSIFICADA, o(a) Pregoeiro(a) examinará a PROPOSTA SUBSEQUENTE, e assim sucessivamente, na ordem de classificação, até a apuração de uma proposta que atenda a este Edital e seus ANEXOS, segundo os procedimentos fixados nos subitens anteriores.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Determinadas informações e formalidades exigidas pelo presente Edital e seus ANEXOS que não afetem a essência da proposta do licitante poderão, a critério do(a) Pregoeiro(a)(a) ou da Autoridade Competente, mediante despacho fundamentado, ser dispensadas ou até mesmo complementadas via sistema (via CHAT) ou da ferramenta "ENVIAR ANEXO" pelo(a) Pregoeiro(a), a qualquer momento durante a fase de julgamento, no sentido de ampliar a competitividade e atingir a finalidade do certame.</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No julgamento das propostas, e considerando o interesse público na maior competitividade possível no certame, o(a) Pregoeiro(a) poderá:</w:t>
      </w:r>
    </w:p>
    <w:p>
      <w:pPr>
        <w:numPr>
          <w:ilvl w:val="3"/>
          <w:numId w:val="11"/>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Solicitar complementação de informações, documentos e ajustes na proposta escrita para fins de atendimentos das exigências legais e editalícias;</w:t>
      </w:r>
    </w:p>
    <w:p>
      <w:pPr>
        <w:numPr>
          <w:ilvl w:val="3"/>
          <w:numId w:val="11"/>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Solicitar ajustes aritméticos e/ou de percentuais e valores da planilha de custo e formação de preços para fins de adequação da proposta às exigências legais e editalícias, vedada majoração do valor global proposto;</w:t>
      </w:r>
    </w:p>
    <w:p>
      <w:pPr>
        <w:numPr>
          <w:ilvl w:val="3"/>
          <w:numId w:val="11"/>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Sanar erros ou falhas que não alterem a substância e nem a validade jurídica das propostas e documentos ANEXOS, mediante despacho fundamentado, registrado em ata e acessível a todos, atribuindo-lhes validade e eficácia para fins de classificação;</w:t>
      </w:r>
    </w:p>
    <w:p>
      <w:pPr>
        <w:numPr>
          <w:ilvl w:val="3"/>
          <w:numId w:val="11"/>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 xml:space="preserve">Realizar diligências em sítios oficiais e/ou via telefone para fins de complementação de informações acessórias ou que não prejudiquem a segurança da proposta do particular, sendo tudo consignado, via CHAT, na </w:t>
      </w:r>
      <w:bookmarkStart w:id="15" w:name="_GoBack"/>
      <w:bookmarkEnd w:id="15"/>
      <w:r>
        <w:rPr>
          <w:rFonts w:asciiTheme="majorHAnsi" w:eastAsia="Arial" w:hAnsiTheme="majorHAnsi"/>
          <w:color w:val="000000"/>
        </w:rPr>
        <w:t>ata dos trabalhos.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Sempre que a proposta não for aceita ou for desclassificada, e antes de o(a) pregoeiro(a) passar à análise da subsequente, poderá haver nova verificação automática, pelo sistema, da eventual ocorrência do empate, previsto nos arts. 44 e 45 da LC nº 123/2006, podendo-se reabrir os procedimentos previstos no item 9.5 deste Edital.</w:t>
      </w:r>
    </w:p>
    <w:p>
      <w:pPr>
        <w:pBdr>
          <w:top w:val="nil"/>
          <w:left w:val="nil"/>
          <w:bottom w:val="nil"/>
          <w:right w:val="nil"/>
          <w:between w:val="nil"/>
        </w:pBdr>
        <w:tabs>
          <w:tab w:val="left" w:pos="-1701"/>
          <w:tab w:val="left" w:pos="809"/>
        </w:tabs>
        <w:jc w:val="both"/>
        <w:rPr>
          <w:rFonts w:asciiTheme="majorHAnsi" w:eastAsia="Arial" w:hAnsiTheme="majorHAnsi"/>
          <w:b/>
          <w:color w:val="000000"/>
        </w:rPr>
      </w:pPr>
    </w:p>
    <w:p>
      <w:pPr>
        <w:numPr>
          <w:ilvl w:val="1"/>
          <w:numId w:val="29"/>
        </w:numPr>
        <w:pBdr>
          <w:top w:val="nil"/>
          <w:left w:val="nil"/>
          <w:bottom w:val="nil"/>
          <w:right w:val="nil"/>
          <w:between w:val="nil"/>
        </w:pBdr>
        <w:tabs>
          <w:tab w:val="left" w:pos="426"/>
        </w:tabs>
        <w:ind w:left="0" w:firstLine="0"/>
        <w:jc w:val="both"/>
        <w:rPr>
          <w:rFonts w:asciiTheme="majorHAnsi" w:eastAsia="Arial" w:hAnsiTheme="majorHAnsi"/>
          <w:b/>
          <w:color w:val="000000"/>
          <w:u w:val="single"/>
        </w:rPr>
      </w:pPr>
      <w:r>
        <w:rPr>
          <w:rFonts w:asciiTheme="majorHAnsi" w:eastAsia="Arial" w:hAnsiTheme="majorHAnsi"/>
          <w:b/>
          <w:color w:val="000000"/>
          <w:u w:val="single"/>
        </w:rPr>
        <w:t xml:space="preserve">DA ACEITABILIDADE DA PROPOSTA: </w:t>
      </w:r>
    </w:p>
    <w:p>
      <w:pPr>
        <w:numPr>
          <w:ilvl w:val="2"/>
          <w:numId w:val="29"/>
        </w:numPr>
        <w:pBdr>
          <w:top w:val="nil"/>
          <w:left w:val="nil"/>
          <w:bottom w:val="nil"/>
          <w:right w:val="nil"/>
          <w:between w:val="nil"/>
        </w:pBdr>
        <w:ind w:left="0" w:firstLine="0"/>
        <w:jc w:val="both"/>
        <w:rPr>
          <w:rFonts w:asciiTheme="majorHAnsi" w:eastAsia="Arial" w:hAnsiTheme="majorHAnsi"/>
          <w:b/>
          <w:color w:val="000000"/>
        </w:rPr>
      </w:pPr>
      <w:r>
        <w:rPr>
          <w:rFonts w:asciiTheme="majorHAnsi" w:eastAsia="Arial" w:hAnsiTheme="majorHAnsi"/>
          <w:b/>
          <w:color w:val="000000"/>
        </w:rPr>
        <w:t>Da exequibilidade do lance ou proposta de preços: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Não ocorrendo situação de recusa com base na hipótese acima, o(a) Pregoeiro(a) examinará a proposta classificada em primeiro lugar quanto ao preço, a sua exequibilidade, bem como quanto ao cumprimento das especificações do objeto.</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Será desclassificada a proposta ou o lance vencedor, apresentar preço final superior ao preço máximo fixado (Acórdão nº 1455/2018 -TCU - Plenário), desconto menor do que o mínimo exigido ou que apresentar preço manifestamente inexequível.</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 xml:space="preserve">Se houver indícios de inexequibilidade da proposta de preço, ou em caso da necessidade de esclarecimentos complementares, poderão ser efetuadas diligências, na forma do art. 59, inc. III, Lei nº 14.133/2021 para permitir ao proponente demonstrar a exequibilidade de seu preço. </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Considerar-se-á inexequível a proposta que:</w:t>
      </w:r>
    </w:p>
    <w:p>
      <w:pPr>
        <w:numPr>
          <w:ilvl w:val="0"/>
          <w:numId w:val="8"/>
        </w:numPr>
        <w:pBdr>
          <w:top w:val="nil"/>
          <w:left w:val="nil"/>
          <w:bottom w:val="nil"/>
          <w:right w:val="nil"/>
          <w:between w:val="nil"/>
        </w:pBdr>
        <w:tabs>
          <w:tab w:val="left" w:pos="-1701"/>
          <w:tab w:val="left" w:pos="284"/>
        </w:tabs>
        <w:ind w:left="0" w:firstLine="0"/>
        <w:jc w:val="both"/>
        <w:rPr>
          <w:rFonts w:asciiTheme="majorHAnsi" w:eastAsia="Arial" w:hAnsiTheme="majorHAnsi"/>
          <w:color w:val="000000"/>
        </w:rPr>
      </w:pPr>
      <w:r>
        <w:rPr>
          <w:rFonts w:asciiTheme="majorHAnsi" w:eastAsia="Arial" w:hAnsiTheme="majorHAnsi"/>
          <w:color w:val="000000"/>
        </w:rPr>
        <w:t>Não venha a ter demonstrada sua viabilidade por meio de documentação que comprove que os custos envolvidos na contratação são coerentes com os de mercado do objeto deste Pregão.</w:t>
      </w:r>
    </w:p>
    <w:p>
      <w:p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a.1) Para efeito de comprovação de sua exequibilidade, podendo-se adotar, dentre outros, os seguintes procedimentos:</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Questionamentos junto à proponente para a apresentação de justificativas e comprovações em relação aos custos com indícios de inexequibilidade;</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Verificação de acordos coletivos, convenções coletivas ou sentenças normativas em dissídios coletivos de trabalho;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Levantamento de informações junto aos órgãos públicos competentes;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Consultas a entidades ou conselhos de classe, sindicatos ou similares;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Pesquisas em órgãos públicos ou empresas privadas;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Verificação de outros contratos que a proponente mantenha com a Administração ou com a iniciativa privada;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Pesquisa de preço com fornecedores dos insumos utilizados, tais como: atacadistas, lojas de suprimentos, supermercados e fabricantes;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Verificação de notas fiscais dos produtos adquiridos pela proponente;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Levantamento de indicadores salariais ou trabalhistas publicados por órgãos de pesquisa; Estudos setoriais;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Consultas às Secretarias de Fazenda federal, distrital, estadual ou municipal;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 xml:space="preserve">Análise de soluções técnicas escolhidas e/ou condições excepcionalmente favoráveis que a proponente disponha para a prestação dos serviços; </w:t>
      </w:r>
    </w:p>
    <w:p>
      <w:pPr>
        <w:numPr>
          <w:ilvl w:val="0"/>
          <w:numId w:val="28"/>
        </w:numPr>
        <w:pBdr>
          <w:top w:val="nil"/>
          <w:left w:val="nil"/>
          <w:bottom w:val="nil"/>
          <w:right w:val="nil"/>
          <w:between w:val="nil"/>
        </w:pBdr>
        <w:tabs>
          <w:tab w:val="left" w:pos="-1701"/>
          <w:tab w:val="left" w:pos="809"/>
        </w:tabs>
        <w:jc w:val="both"/>
        <w:rPr>
          <w:rFonts w:asciiTheme="majorHAnsi" w:eastAsia="Arial" w:hAnsiTheme="majorHAnsi"/>
          <w:color w:val="000000"/>
        </w:rPr>
      </w:pPr>
      <w:r>
        <w:rPr>
          <w:rFonts w:asciiTheme="majorHAnsi" w:eastAsia="Arial" w:hAnsiTheme="majorHAnsi"/>
          <w:color w:val="000000"/>
        </w:rPr>
        <w:t>Demais verificações que porventura se fizerem necessárias.</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numPr>
          <w:ilvl w:val="0"/>
          <w:numId w:val="8"/>
        </w:numPr>
        <w:pBdr>
          <w:top w:val="nil"/>
          <w:left w:val="nil"/>
          <w:bottom w:val="nil"/>
          <w:right w:val="nil"/>
          <w:between w:val="nil"/>
        </w:pBdr>
        <w:tabs>
          <w:tab w:val="left" w:pos="-1701"/>
          <w:tab w:val="left" w:pos="284"/>
        </w:tabs>
        <w:ind w:left="0" w:firstLine="0"/>
        <w:jc w:val="both"/>
        <w:rPr>
          <w:rFonts w:asciiTheme="majorHAnsi" w:eastAsia="Arial" w:hAnsiTheme="majorHAnsi"/>
          <w:color w:val="000000"/>
        </w:rPr>
      </w:pPr>
      <w:r>
        <w:rPr>
          <w:rFonts w:asciiTheme="majorHAnsi" w:eastAsia="Arial" w:hAnsiTheme="majorHAnsi"/>
          <w:color w:val="000000"/>
        </w:rPr>
        <w:t>Apresentar preço final inferior a 30% (trinta por cento) da média dos preços ofertados para o mesmo item, e a inexequibilidade da proposta não for flagrante e evidente pela análise da planilha de custos, não sendo possível a sua imediata desclassificação, será obrigatória a realização de diligências para aferir a legalidade e exequibilidade da proposta.</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Será considerada inexequível a proposta de preços que não tiver a sua exequibilidade comprovada e, ainda, 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proponente, para os quais ele renuncie a parcela ou a totalidade da remuneração.</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numPr>
          <w:ilvl w:val="2"/>
          <w:numId w:val="29"/>
        </w:numPr>
        <w:pBdr>
          <w:top w:val="nil"/>
          <w:left w:val="nil"/>
          <w:bottom w:val="nil"/>
          <w:right w:val="nil"/>
          <w:between w:val="nil"/>
        </w:pBdr>
        <w:ind w:left="0" w:firstLine="0"/>
        <w:jc w:val="both"/>
        <w:rPr>
          <w:rFonts w:asciiTheme="majorHAnsi" w:eastAsia="Arial" w:hAnsiTheme="majorHAnsi"/>
          <w:b/>
          <w:color w:val="000000"/>
        </w:rPr>
      </w:pPr>
      <w:r>
        <w:rPr>
          <w:rFonts w:asciiTheme="majorHAnsi" w:eastAsia="Arial" w:hAnsiTheme="majorHAnsi"/>
          <w:b/>
          <w:color w:val="000000"/>
        </w:rPr>
        <w:t>Da convocação para apresentação de documentos complementares a proposta de preços: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O(a) Pregoeiro(a) poderá convocar o proponente para enviar documento digital, por meio de funcionalidade disponível no sistema, estabelecendo no “chat” prazo razoável para tanto, sob pena de não aceitação da proposta.</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Dentre os documentos passíveis de solicitação pelo(a) Pregoeiro(a), destacam-se os que contenham as características do material ofertado, em compatibilidade como Termo de Referência, minudenciando o modelo, tipo, procedência, garantia ou validade, além de outras informações pertinentes, a exemplo de catálogos, folhetos ou propostas.</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 prazo estabelecido pelo(a) Pregoeiro(a) poderá ser prorrogado por solicitação escrita e justificada do proponente, formulada antes de findo o prazo estabelecido, e formalmente aceita pelo (a) Pregoeiro(a).</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 a proposta de preços final (consolidada) da proponente vencedora for desclassificada, o(a) Pregoeiro(a) examinará a proposta subsequente, inclusive quanto aos tramites afeitos a negociação, e, assim sucessivamente, na ordem de classificação, até a apuração de uma proposta que atenda ao Edital.</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Nos itens não exclusivos a Microempresa - ME, Empresas de Pequeno Porte - EPP e equiparadas, sempre que a proposta não for aceita, e antes de o(a) Pregoeiro(a) passar à subsequente, haverá nova verificação, pelo sistema, da eventual ocorrência do empate ficto, previsto nos artigos 44 e 45 da LC nº 123, de 2006, seguindo-se a disciplina antes estabelecida, se for o caso.</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Também nas hipóteses em que o(a) Pregoeiro(a) não aceitar a proposta e passar à subsequente, poderá negociar com o proponente para que seja obtido preço melhor.</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O(a) Pregoeiro(a)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 não atendimento as exigências necessárias quanto a apresentação e formalidades mínimas exigidas para fins de apresentação de proposta de preços final (consolidada) e ou procedimentos afins, implicará na desclassificação da proponente.</w:t>
      </w:r>
    </w:p>
    <w:p>
      <w:pPr>
        <w:numPr>
          <w:ilvl w:val="3"/>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Escolhida a proposta que melhor atenda aos fins pretendidos, segundo as regras do Edital e seus ANEXOS, o(a) Pregoeiro(a) passará à verificação das condições de participação e a fase de habilitação.</w:t>
      </w:r>
    </w:p>
    <w:p>
      <w:pPr>
        <w:tabs>
          <w:tab w:val="left" w:pos="426"/>
        </w:tabs>
        <w:jc w:val="both"/>
        <w:rPr>
          <w:rFonts w:asciiTheme="majorHAnsi" w:eastAsia="Arial" w:hAnsiTheme="majorHAnsi"/>
          <w:b/>
          <w:u w:val="single"/>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VERIFICAÇÃO DAS CONDIÇÕES DE PARTICIPAÇÃO: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Encerrada a etapa de disputa de lances e envio de proposta de preços final (consolidada), o(a) Pregoeiro(a) verificará o cumprimento das condições de participação, realizando as seguintes consultas/diligências necessárias, a partir da ordem de classificação e apenas em relação à(s) proponentes mais bem classificada(s) por item e ou lote/grupo:</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Consulta Situação do Fornecedor e Relatório de Ocorrências (impedimentos, suspensões, multas, etc.) registrados no Sistema de Cadastramento Unificado de Fornecedores (SICAF);</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Cadastro Consolidado de Pessoa Jurídica do TCU, no Cadastro Nacional de Empresas Inidôneas (CEIS) e no Cadastro Nacional de Empresas Punidas (CNEP);</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Consulta ao Cadastro Nacional de Pessoa Jurídica (CNPJ), mantido pela Receita Federal do Brasil;</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Verificação de que o proponente esteja enquadrado nas situações constantes do item 3.1 deste Edital;</w:t>
      </w:r>
    </w:p>
    <w:p>
      <w:pPr>
        <w:numPr>
          <w:ilvl w:val="1"/>
          <w:numId w:val="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Verificação de que o proponente não esteja enquadrado nas situações constantes do item 3.2 deste Edital;</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lastRenderedPageBreak/>
        <w:t>Não cumpridas quaisquer das condições de participação, o(a) pregoeiro(a) desclassificará a proposta do proponente, sendo este impedido de prosseguir no certame, por decisão fundamentada, devidamente registrada no campo DESCLASSIFICAÇÃO da plataforma eletrônica “Compras Gov”.</w:t>
      </w:r>
    </w:p>
    <w:p>
      <w:pPr>
        <w:pBdr>
          <w:top w:val="nil"/>
          <w:left w:val="nil"/>
          <w:bottom w:val="nil"/>
          <w:right w:val="nil"/>
          <w:between w:val="nil"/>
        </w:pBdr>
        <w:tabs>
          <w:tab w:val="left" w:pos="426"/>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 xml:space="preserve">DA FASE DE HABILITAÇÃO: </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Estando o(s) proponente(s) classificados, o(a) Pregoeiro(a) o convocará em ordem de classificação, via Compras Gov”, para fins de encaminhamento/anexação da DOCUMENTAÇÃO DE HABILITAÇÃO, por meio da opção "ENVIAR ANEXO", no prazo de até </w:t>
      </w:r>
      <w:r>
        <w:rPr>
          <w:rFonts w:asciiTheme="majorHAnsi" w:eastAsia="Arial" w:hAnsiTheme="majorHAnsi"/>
          <w:b/>
          <w:color w:val="000000"/>
        </w:rPr>
        <w:t>02h (duas horas),</w:t>
      </w:r>
      <w:r>
        <w:rPr>
          <w:rFonts w:asciiTheme="majorHAnsi" w:eastAsia="Arial" w:hAnsiTheme="majorHAnsi"/>
          <w:color w:val="000000"/>
        </w:rPr>
        <w:t xml:space="preserve"> contados a partir da convocação do(a) Pregoeiro(a), podendo ser prorrogado a requerimento do interessado e/ou a critério do(a) Pregoeiro(a).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sz w:val="23"/>
          <w:szCs w:val="23"/>
        </w:rPr>
        <w:t xml:space="preserve">Após a entrega dos documentos para habilitação, não será permitida a substituição ou a apresentação de novos documentos, salvo em sede de diligência, para: </w:t>
      </w:r>
    </w:p>
    <w:p>
      <w:pPr>
        <w:rPr>
          <w:rFonts w:asciiTheme="majorHAnsi" w:eastAsia="Arial" w:hAnsiTheme="majorHAnsi"/>
          <w:color w:val="000000"/>
          <w:sz w:val="23"/>
          <w:szCs w:val="23"/>
        </w:rPr>
      </w:pPr>
      <w:r>
        <w:rPr>
          <w:rFonts w:asciiTheme="majorHAnsi" w:eastAsia="Arial" w:hAnsiTheme="majorHAnsi"/>
          <w:color w:val="000000"/>
          <w:sz w:val="23"/>
          <w:szCs w:val="23"/>
        </w:rPr>
        <w:t xml:space="preserve">a) complementação de informações acerca dos documentos já apresentados pelos licitantes e desde que necessária para apurar fatos existentes à época da abertura do certame; </w:t>
      </w:r>
    </w:p>
    <w:p>
      <w:pPr>
        <w:pBdr>
          <w:top w:val="nil"/>
          <w:left w:val="nil"/>
          <w:bottom w:val="nil"/>
          <w:right w:val="nil"/>
          <w:between w:val="nil"/>
        </w:pBdr>
        <w:jc w:val="both"/>
        <w:rPr>
          <w:rFonts w:asciiTheme="majorHAnsi" w:eastAsia="Arial" w:hAnsiTheme="majorHAnsi"/>
          <w:color w:val="000000"/>
        </w:rPr>
      </w:pPr>
      <w:r>
        <w:rPr>
          <w:rFonts w:asciiTheme="majorHAnsi" w:eastAsia="Arial" w:hAnsiTheme="majorHAnsi"/>
          <w:color w:val="000000"/>
          <w:sz w:val="23"/>
          <w:szCs w:val="23"/>
        </w:rPr>
        <w:t>b) atualização de documentos cuja validade tenha expirado após a data de recebimento das propostas.</w:t>
      </w:r>
    </w:p>
    <w:p>
      <w:pPr>
        <w:pBdr>
          <w:top w:val="nil"/>
          <w:left w:val="nil"/>
          <w:bottom w:val="nil"/>
          <w:right w:val="nil"/>
          <w:between w:val="nil"/>
        </w:pBdr>
        <w:jc w:val="both"/>
        <w:rPr>
          <w:rFonts w:asciiTheme="majorHAnsi" w:eastAsia="Arial" w:hAnsiTheme="majorHAnsi"/>
          <w:color w:val="000000"/>
        </w:rPr>
      </w:pPr>
    </w:p>
    <w:p>
      <w:pPr>
        <w:pBdr>
          <w:top w:val="dashed" w:sz="12" w:space="1" w:color="FF0000"/>
          <w:left w:val="dashed" w:sz="12" w:space="4" w:color="FF0000"/>
          <w:bottom w:val="dashed" w:sz="12" w:space="1" w:color="FF0000"/>
          <w:right w:val="dashed" w:sz="12" w:space="4" w:color="FF0000"/>
          <w:between w:val="nil"/>
        </w:pBdr>
        <w:tabs>
          <w:tab w:val="left" w:pos="426"/>
        </w:tabs>
        <w:ind w:left="142"/>
        <w:jc w:val="both"/>
        <w:rPr>
          <w:rFonts w:asciiTheme="majorHAnsi" w:eastAsia="Arial" w:hAnsiTheme="majorHAnsi"/>
          <w:color w:val="000000"/>
        </w:rPr>
      </w:pPr>
      <w:r>
        <w:rPr>
          <w:rFonts w:asciiTheme="majorHAnsi" w:eastAsia="Arial" w:hAnsiTheme="majorHAnsi"/>
          <w:b/>
          <w:color w:val="000000"/>
        </w:rPr>
        <w:t xml:space="preserve">OBSERVAÇÃO: </w:t>
      </w:r>
      <w:r>
        <w:rPr>
          <w:rFonts w:asciiTheme="majorHAnsi" w:eastAsia="Arial" w:hAnsiTheme="majorHAnsi"/>
          <w:color w:val="000000"/>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Pregoeiro(a) diligenciar para permitir tal COMPLEMENTAÇÃO DE DOCUMENTOS).</w:t>
      </w:r>
    </w:p>
    <w:p>
      <w:pPr>
        <w:pBdr>
          <w:top w:val="nil"/>
          <w:left w:val="nil"/>
          <w:bottom w:val="nil"/>
          <w:right w:val="nil"/>
          <w:between w:val="nil"/>
        </w:pBdr>
        <w:jc w:val="both"/>
        <w:rPr>
          <w:rFonts w:asciiTheme="majorHAnsi" w:eastAsia="Arial" w:hAnsiTheme="majorHAnsi"/>
          <w:color w:val="000000"/>
        </w:rPr>
      </w:pP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Os documentos necessários a Habilitação do(s) proponente(s) classificado(s) serão os definidos no Termo de Referência (anexo 01).  </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Será acessado o banco de dados do SICAF, para fins de consulta do cadastro do(s) licitante(s) classificado(s) em primeiro lugar, verificando-se a habilitação parcial de cada licitante, sendo impresso o extrato que integrará a documentação de habilitação do(s) licitante(s).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Além da regularidade da documentação já abrangida pelo SICAF, serão visualizadas e impressas as declarações eletrônicas para fins de cumprimento do exigido no subitem 8.2 deste Edital.</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Para fins de julgamento da habilitação, poderá haver a </w:t>
      </w:r>
      <w:r>
        <w:rPr>
          <w:rFonts w:asciiTheme="majorHAnsi" w:eastAsia="Arial" w:hAnsiTheme="majorHAnsi"/>
          <w:b/>
          <w:bCs/>
          <w:color w:val="000000"/>
        </w:rPr>
        <w:t>verificação</w:t>
      </w:r>
      <w:r>
        <w:rPr>
          <w:rFonts w:asciiTheme="majorHAnsi" w:eastAsia="Arial" w:hAnsiTheme="majorHAnsi"/>
          <w:color w:val="000000"/>
        </w:rPr>
        <w:t xml:space="preserve">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Caso o licitante não esteja regularmente cadastrado no SICAF ou esteja com alguma certidão com prazo de validade vencido, poderá o(a) Pregoeiro(a) e/ou a equipe de apoio realizar diligências eletrônicas diretamente nos sítios oficiais.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O(a) Pregoeiro(a)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numPr>
          <w:ilvl w:val="2"/>
          <w:numId w:val="29"/>
        </w:numPr>
        <w:pBdr>
          <w:top w:val="nil"/>
          <w:left w:val="nil"/>
          <w:bottom w:val="nil"/>
          <w:right w:val="nil"/>
          <w:between w:val="nil"/>
        </w:pBdr>
        <w:tabs>
          <w:tab w:val="left" w:pos="993"/>
        </w:tabs>
        <w:ind w:left="0" w:firstLine="0"/>
        <w:jc w:val="both"/>
        <w:rPr>
          <w:rFonts w:asciiTheme="majorHAnsi" w:eastAsia="Arial" w:hAnsiTheme="majorHAnsi"/>
          <w:color w:val="000000"/>
        </w:rPr>
      </w:pPr>
      <w:r>
        <w:rPr>
          <w:rFonts w:asciiTheme="majorHAnsi" w:eastAsia="Arial" w:hAnsiTheme="majorHAnsi"/>
          <w:color w:val="000000"/>
        </w:rPr>
        <w:t>Poderá ser INABILITADO o licitante que:</w:t>
      </w:r>
    </w:p>
    <w:p>
      <w:pPr>
        <w:numPr>
          <w:ilvl w:val="2"/>
          <w:numId w:val="12"/>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deixar de encaminhar ou de apresentar quaisquer dos documentos de habilitação exigidos no Termo de Referência deste Edital;</w:t>
      </w:r>
    </w:p>
    <w:p>
      <w:pPr>
        <w:numPr>
          <w:ilvl w:val="2"/>
          <w:numId w:val="12"/>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apresentar CERTIDÃO ou outro documento com prazo de validade vencido;</w:t>
      </w:r>
    </w:p>
    <w:p>
      <w:pPr>
        <w:numPr>
          <w:ilvl w:val="2"/>
          <w:numId w:val="12"/>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apresentar quaisquer documentos em desacordo com este Edital;</w:t>
      </w:r>
    </w:p>
    <w:p>
      <w:pPr>
        <w:numPr>
          <w:ilvl w:val="2"/>
          <w:numId w:val="12"/>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lastRenderedPageBreak/>
        <w:t>não contenha em seu ato constitutivo atividade econômica compatível com o objeto da presente licitação;</w:t>
      </w:r>
    </w:p>
    <w:p>
      <w:pPr>
        <w:numPr>
          <w:ilvl w:val="2"/>
          <w:numId w:val="12"/>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não comprove exigência(s) de habilitação prevista neste Edital e seus anexos.</w:t>
      </w:r>
    </w:p>
    <w:p>
      <w:pPr>
        <w:pBdr>
          <w:top w:val="nil"/>
          <w:left w:val="nil"/>
          <w:bottom w:val="nil"/>
          <w:right w:val="nil"/>
          <w:between w:val="nil"/>
        </w:pBdr>
        <w:jc w:val="both"/>
        <w:rPr>
          <w:rFonts w:asciiTheme="majorHAnsi" w:eastAsia="Arial" w:hAnsiTheme="majorHAnsi"/>
          <w:color w:val="000000"/>
        </w:rPr>
      </w:pP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Sendo o licitante Microempresa - ME, Empresas de Pequeno Porte - EPP e equiparadas, não será motivo de INABILITAÇÃO a existência de restrições na sua HABILITAÇÃO FISCAL E TRABALHISTA, sendo observado o seguinte procedimento: </w:t>
      </w:r>
    </w:p>
    <w:p>
      <w:pPr>
        <w:numPr>
          <w:ilvl w:val="2"/>
          <w:numId w:val="13"/>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será o licitante DECLARADO HABILITADO no certame para fins de posterior regularização, nos termos definidos na Lei Complementar nº 123/2006.</w:t>
      </w:r>
    </w:p>
    <w:p>
      <w:pPr>
        <w:numPr>
          <w:ilvl w:val="2"/>
          <w:numId w:val="13"/>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 xml:space="preserve">será assegurado o prazo de </w:t>
      </w:r>
      <w:r>
        <w:rPr>
          <w:rFonts w:asciiTheme="majorHAnsi" w:eastAsia="Arial" w:hAnsiTheme="majorHAnsi"/>
          <w:b/>
          <w:color w:val="000000"/>
        </w:rPr>
        <w:t>05 (cinco) dias úteis</w:t>
      </w:r>
      <w:r>
        <w:rPr>
          <w:rFonts w:asciiTheme="majorHAnsi" w:eastAsia="Arial" w:hAnsiTheme="majorHAnsi"/>
          <w:color w:val="000000"/>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numPr>
          <w:ilvl w:val="2"/>
          <w:numId w:val="13"/>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não regularização da situação fiscal no prazo fixado na alínea anterior acarretará na decadência do direito à contratação, sendo facultado à PREFEITURA MUNICIPAL DE MIRAÍMA/CE convocar os licitantes remanescentes na ordem de classificação para firmamento do contrato.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No julgamento da habilitação, poderá o(a) Pregoeiro(a) adotar os procedimentos, diligências e decisões que visem sanar erros ou falhas que não prejudiquem a validade e segurança jurídica da documentação apresentada.</w:t>
      </w:r>
    </w:p>
    <w:p>
      <w:pPr>
        <w:jc w:val="both"/>
        <w:rPr>
          <w:rFonts w:asciiTheme="majorHAnsi" w:eastAsia="Arial" w:hAnsiTheme="majorHAnsi"/>
          <w:b/>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FASE DE RECURSOS: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Declarado o(s) vencedor(es), o(a) Pregoeiro(a) abrirá prazo mínimo de </w:t>
      </w:r>
      <w:r>
        <w:rPr>
          <w:rFonts w:asciiTheme="majorHAnsi" w:eastAsia="Arial" w:hAnsiTheme="majorHAnsi"/>
          <w:b/>
          <w:color w:val="000000"/>
        </w:rPr>
        <w:t>30 (trinta) minutos</w:t>
      </w:r>
      <w:r>
        <w:rPr>
          <w:rFonts w:asciiTheme="majorHAnsi" w:eastAsia="Arial" w:hAnsiTheme="majorHAnsi"/>
          <w:color w:val="000000"/>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 RECURSO ADMINISTRATIVO poderá atacar qualquer ato decisório ou procedimento adotado pelo(a) Pregoeiro(a) ou pela autoridade competente a qual resultou em deliberação ao julgamento, durante todo o certame, não sendo meio adequado para impugnar regras do edital e seus anexos.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Havendo registro de INTENÇÃO DE RECURSO, o(a) Pregoeiro(a) fará JUÍZO DE ADMISSIBILIDADE da intenção de recorrer manifestada, aceitando-a ou, motivadamente, rejeitando-a, em campo próprio do sistema, em razão da não observância dos pressupostos recursais de admissibilidade.</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Será rejeitada a INTENÇÃO DE RECURSO de caráter protelatório que:</w:t>
      </w:r>
    </w:p>
    <w:p>
      <w:pPr>
        <w:numPr>
          <w:ilvl w:val="2"/>
          <w:numId w:val="1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seja registrada por quem não tenha legítimo interesse;</w:t>
      </w:r>
    </w:p>
    <w:p>
      <w:pPr>
        <w:numPr>
          <w:ilvl w:val="2"/>
          <w:numId w:val="1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seja intempestiva;</w:t>
      </w:r>
    </w:p>
    <w:p>
      <w:pPr>
        <w:numPr>
          <w:ilvl w:val="2"/>
          <w:numId w:val="1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não ataque ato decisório ou procedimental praticado pelo(a) Pregoeiro(a) no certame; e/ou</w:t>
      </w:r>
    </w:p>
    <w:p>
      <w:pPr>
        <w:numPr>
          <w:ilvl w:val="2"/>
          <w:numId w:val="14"/>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seja fundamentada em mera insatisfação do licitante, sem que haja a explícita alegação de qualquer fato prejudicial ao mesmo ou que tenha ocorrido alfo em desconformidade com o presente Edital e/ou com a legislação vigente.</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A recorrente que tiver sua intenção de recurso aceita terá o prazo de até </w:t>
      </w:r>
      <w:r>
        <w:rPr>
          <w:rFonts w:asciiTheme="majorHAnsi" w:eastAsia="Arial" w:hAnsiTheme="majorHAnsi"/>
          <w:b/>
          <w:color w:val="000000"/>
        </w:rPr>
        <w:t xml:space="preserve">03 (três) dias </w:t>
      </w:r>
      <w:r>
        <w:rPr>
          <w:rFonts w:asciiTheme="majorHAnsi" w:eastAsia="Arial" w:hAnsiTheme="majorHAnsi"/>
          <w:color w:val="000000"/>
        </w:rPr>
        <w:t>para apresentar os memoriais contendo as razões recursais, obrigatoriamente por meio de registro no sistema e, havendo imagens, ilustrações e demais informações não suportadas pela plataforma, também deverão ser enviados via e-mail constante do quadro resumo deste edital, ficando as demais licitantes, desde logo o protocolo na Plataforma do “Compras Gov”, intimadas a apresentar contrarrazões, também via sistema e e-mail, no caso da situação anterior, em igual prazo, que começará a correr do término do prazo da recorrente.</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Para justificar sua intenção de recorrer e fundamentar suas razões ou contrarrazões de recurso, o licitante interessado poderá solicitar vistas dos autos ou consultar as informações do certame disponíveis na própria plataforma eletrônica Compras Gov.</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Decorridos os prazos de apresentação de razões e contrarrazões, o(a) Pregoeiro(a) deverá analisar fundamentadamente os fatos e fundamentos arguidos pelo(s) recorrente(s), podendo, em sede de juízo de retratação:</w:t>
      </w:r>
    </w:p>
    <w:p>
      <w:pPr>
        <w:numPr>
          <w:ilvl w:val="2"/>
          <w:numId w:val="1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reconsiderar, total ou parcialmente, a decisão recorrida, reformando-a; ou,</w:t>
      </w:r>
    </w:p>
    <w:p>
      <w:pPr>
        <w:numPr>
          <w:ilvl w:val="2"/>
          <w:numId w:val="1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manter inalterada a decisão recorrida.</w:t>
      </w:r>
    </w:p>
    <w:p>
      <w:pPr>
        <w:numPr>
          <w:ilvl w:val="2"/>
          <w:numId w:val="15"/>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Pregoeiro(a).</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Caso não haja a reconsideração total do ato ou decisão adotada, os memoriais de razões recursais deverão ser submetidos, depois de devidamente instruído pelo(a) Pregoeiro(a), à análise hierárquica superior para fins de decisão final, podendo a autoridade competente do procedimento:</w:t>
      </w:r>
    </w:p>
    <w:p>
      <w:pPr>
        <w:numPr>
          <w:ilvl w:val="2"/>
          <w:numId w:val="16"/>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decidir de pronto o mérito do recurso, segundo os documentos e informações contidas nos autos, como também os fundamentos da decisão do(a) Pregoeiro(a).</w:t>
      </w:r>
    </w:p>
    <w:p>
      <w:pPr>
        <w:numPr>
          <w:ilvl w:val="2"/>
          <w:numId w:val="16"/>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determinar prévia emissão de parecer da área técnica interessada e/ou jurídico para fins de decisão.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O(A) Pregoeiro(a) ou da autoridade superior considerando eventuais indícios de ilegalidades ou irregularidades no julgamento do certame apontados na própria intenção de recurso, deverá analisar o mérito do recurso independente da apresentação das respectivas razões (ou de sua apresentação fora do prazo legal), como mero exercício do direito constitucional de petição (art. 5º, XXXIV, "a", CRFB/1988).</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Não cabe recurso adesivo por ocasião do exercício do direito de contrarrazoar.</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O acolhimento do recurso importará na invalidação apenas dos atos insuscetíveis de aproveitamento, sendo reaberta a Sessão Pública para fins de prosseguimento do certame e explanação dos atos decorrentes da decisão.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Pregoeiro(a) em face dos demais itens/grupos do objeto da licitação, através de adjudicação ou homologação parcial.</w:t>
      </w:r>
    </w:p>
    <w:p>
      <w:pPr>
        <w:pBdr>
          <w:top w:val="nil"/>
          <w:left w:val="nil"/>
          <w:bottom w:val="nil"/>
          <w:right w:val="nil"/>
          <w:between w:val="nil"/>
        </w:pBdr>
        <w:tabs>
          <w:tab w:val="left" w:pos="426"/>
        </w:tabs>
        <w:jc w:val="both"/>
        <w:rPr>
          <w:rFonts w:asciiTheme="majorHAnsi" w:eastAsia="Arial" w:hAnsiTheme="majorHAnsi"/>
          <w:b/>
          <w:color w:val="000000"/>
          <w:u w:val="single"/>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SUSPENSÃO E REABERTURA DA SESSÃO: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bookmarkStart w:id="16" w:name="_heading=h.44sinio" w:colFirst="0" w:colLast="0"/>
      <w:bookmarkEnd w:id="16"/>
      <w:r>
        <w:rPr>
          <w:rFonts w:asciiTheme="majorHAnsi" w:eastAsia="Arial" w:hAnsiTheme="majorHAnsi"/>
          <w:color w:val="000000"/>
        </w:rPr>
        <w:t>À(o) Pregoeiro(a) é facultado, a qualquer momento, suspender a sessão mediante motivo devidamente justificado e marcar seu prosseguimento para outra ocasião, fazendo constar esta decisão na plataforma eletrônica. Neste caso, a sessão terá continuidade a qualquer dia e hora, ficando a cargo do(a) Pregoeiro(a) realizar o devido agendamento prévio na plataforma do “Compras Gov”.</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 xml:space="preserve">O(a) Pregoeiro(a), a qualquer tempo, na análise das propostas de preços e seus ANEXOS, das amostras, quando houver, e dos documentos de habilitação, poderá solicitar outros documentos, pareceres técnicos e/ou suspender a sessão para realizar diligência a fim de obter melhores subsídios para as suas decisões. Neste caso, a sessão do pregão na forma eletrônica será suspensa e será reiniciada somente decorrida </w:t>
      </w:r>
      <w:r>
        <w:rPr>
          <w:rFonts w:asciiTheme="majorHAnsi" w:eastAsia="Arial" w:hAnsiTheme="majorHAnsi"/>
          <w:b/>
          <w:color w:val="000000"/>
        </w:rPr>
        <w:t>24h (vinte e quatro horas)</w:t>
      </w:r>
      <w:r>
        <w:rPr>
          <w:rFonts w:asciiTheme="majorHAnsi" w:eastAsia="Arial" w:hAnsiTheme="majorHAnsi"/>
          <w:color w:val="000000"/>
        </w:rPr>
        <w:t xml:space="preserve"> após a comunicação do prosseguimento aos participantes, a qual serão informados na plataforma do “Compras Gov”.</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lastRenderedPageBreak/>
        <w:t xml:space="preserve">A Sessão Pública poderá ser REABERTA, em prazo não inferior a </w:t>
      </w:r>
      <w:r>
        <w:rPr>
          <w:rFonts w:asciiTheme="majorHAnsi" w:eastAsia="Arial" w:hAnsiTheme="majorHAnsi"/>
          <w:b/>
          <w:color w:val="000000"/>
        </w:rPr>
        <w:t>24h (vinte e quatro horas)</w:t>
      </w:r>
      <w:r>
        <w:rPr>
          <w:rFonts w:asciiTheme="majorHAnsi" w:eastAsia="Arial" w:hAnsiTheme="majorHAnsi"/>
          <w:color w:val="000000"/>
        </w:rPr>
        <w:t>, em relação ao(s) ITEM(NS) e/ou GRUPO/LOTE(S) do objeto que apresente os seguintes eventos, observada sempre a ordem classificatória da fase de lances:</w:t>
      </w:r>
    </w:p>
    <w:p>
      <w:pPr>
        <w:numPr>
          <w:ilvl w:val="2"/>
          <w:numId w:val="17"/>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Julgamento favorável em sede de recurso administrativo que leve à anulação de atos da fase preparatória ou da própria Sessão Pública, situação em que serão repetidos os atos anulados e os que dele dependam;</w:t>
      </w:r>
    </w:p>
    <w:p>
      <w:pPr>
        <w:numPr>
          <w:ilvl w:val="2"/>
          <w:numId w:val="17"/>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Constatado erro/impropriedade na aceitação e julgamento da proposta, ou no julgamento da habilitação, o certame restará retroagido aos procedimentos imediatamente anteriores ao instante do erro/impropriedade declarada;</w:t>
      </w:r>
    </w:p>
    <w:p>
      <w:pPr>
        <w:numPr>
          <w:ilvl w:val="2"/>
          <w:numId w:val="17"/>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Licitante declarado vencedor que não assinar o instrumento contratual, não havendo CADASTRO DE RESERVA, sendo o certame retomado da fase de aceitação e julgamento das propostas;</w:t>
      </w:r>
    </w:p>
    <w:p>
      <w:pPr>
        <w:numPr>
          <w:ilvl w:val="2"/>
          <w:numId w:val="17"/>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Microempresa - ME, Empresas de Pequeno Porte - EPP e equiparadas com restrição da habilitação fiscal e trabalhista que, vencedora do certame, não comprove tal regularidade no prazo fixado neste Edital, nos termos do art. 43, §1º da LC nº 123/2006, sendo reiniciados os procedimentos imediatamente posteriores ao encerramento da etapa de lances;</w:t>
      </w:r>
    </w:p>
    <w:p>
      <w:pPr>
        <w:numPr>
          <w:ilvl w:val="2"/>
          <w:numId w:val="17"/>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Licitante vencedor que não mantenha as condições de participação e de habilitação até o momento da assinatura do instrumento contratual, sendo reiniciados os procedimentos de aceitação e julgamento das propostas.</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Todos os licitantes remanescentes deverão ser convocados para acompanhar a Sessão reaberta, sendo devidamente registrados na plataforma eletrônica Compras Gov a data e hora de tal reabertura, observados os seguintes meios:</w:t>
      </w:r>
    </w:p>
    <w:p>
      <w:pPr>
        <w:numPr>
          <w:ilvl w:val="2"/>
          <w:numId w:val="18"/>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convocação se dará por meio da plataforma eletrônica Compras Gov ("CHAT” ou evento de reabertura) ou e-mail, de acordo com a fase do procedimento licitatório;</w:t>
      </w:r>
    </w:p>
    <w:p>
      <w:pPr>
        <w:numPr>
          <w:ilvl w:val="2"/>
          <w:numId w:val="18"/>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convocação feita por e-mail dar-se-á de acordo com os dados cadastrais contidos no SICAF, sendo responsabilidade do licitante mantê-los atualizados; e,</w:t>
      </w:r>
    </w:p>
    <w:p>
      <w:pPr>
        <w:numPr>
          <w:ilvl w:val="2"/>
          <w:numId w:val="18"/>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 convocação para reabertura também será divulgada com antecedência por meio do Portal de Licitações do TCE/CE, cabendo ao licitante acompanhar as informações e publicações contidas naquele canal de acesso.</w:t>
      </w:r>
    </w:p>
    <w:p>
      <w:pPr>
        <w:numPr>
          <w:ilvl w:val="2"/>
          <w:numId w:val="29"/>
        </w:numPr>
        <w:pBdr>
          <w:top w:val="nil"/>
          <w:left w:val="nil"/>
          <w:bottom w:val="nil"/>
          <w:right w:val="nil"/>
          <w:between w:val="nil"/>
        </w:pBdr>
        <w:tabs>
          <w:tab w:val="left" w:pos="851"/>
        </w:tabs>
        <w:ind w:left="0" w:firstLine="0"/>
        <w:jc w:val="both"/>
        <w:rPr>
          <w:rFonts w:asciiTheme="majorHAnsi" w:eastAsia="Arial" w:hAnsiTheme="majorHAnsi"/>
          <w:color w:val="000000"/>
        </w:rPr>
      </w:pPr>
      <w:r>
        <w:rPr>
          <w:rFonts w:asciiTheme="majorHAnsi" w:eastAsia="Arial" w:hAnsiTheme="majorHAnsi"/>
          <w:color w:val="000000"/>
        </w:rPr>
        <w:t>A Sessão Pública reaberta será composta de todos os procedimentos e regras de processamento fixadas neste Edital, a depender apenas da fase em que os trabalhos serão retomados.</w:t>
      </w:r>
    </w:p>
    <w:p>
      <w:pPr>
        <w:pBdr>
          <w:top w:val="nil"/>
          <w:left w:val="nil"/>
          <w:bottom w:val="nil"/>
          <w:right w:val="nil"/>
          <w:between w:val="nil"/>
        </w:pBdr>
        <w:tabs>
          <w:tab w:val="left" w:pos="426"/>
        </w:tabs>
        <w:jc w:val="both"/>
        <w:rPr>
          <w:rFonts w:asciiTheme="majorHAnsi" w:eastAsia="Arial" w:hAnsiTheme="majorHAnsi"/>
          <w:b/>
          <w:color w:val="000000"/>
          <w:u w:val="single"/>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 xml:space="preserve">ENCERRAMENTO DA SESSÃO: </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Da sessão do Pregão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Pregoeiro(a) e sua Equipe de Apoio.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Ao final da sessão, caso não haja intenção de interposição de recurso e o preço final seja compatível com os preços de mercado previstos para a contratação, será feita pelo(a) Pregoeiro(a) a adjudicação do objeto desta licitação ao proponente declarado vencedor do certame e encerrada a reunião, após o que, o processo, devidamente instruído, será encaminhado:</w:t>
      </w:r>
    </w:p>
    <w:p>
      <w:pPr>
        <w:numPr>
          <w:ilvl w:val="2"/>
          <w:numId w:val="1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Para as publicações quanto resultados do certame, instrução do feito e deliberações quanto aos proclames de julgamento;</w:t>
      </w:r>
    </w:p>
    <w:p>
      <w:pPr>
        <w:numPr>
          <w:ilvl w:val="2"/>
          <w:numId w:val="1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À Assessoria Jurídica, para fins de análise e parecer jurídico;</w:t>
      </w:r>
    </w:p>
    <w:p>
      <w:pPr>
        <w:numPr>
          <w:ilvl w:val="2"/>
          <w:numId w:val="19"/>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E depois à(s) autoridades(s) competentes para homologação e subsequente formalização de Contrato(s).</w:t>
      </w:r>
    </w:p>
    <w:p>
      <w:pPr>
        <w:jc w:val="both"/>
        <w:rPr>
          <w:rFonts w:asciiTheme="majorHAnsi" w:eastAsia="Arial" w:hAnsiTheme="majorHAnsi"/>
        </w:rPr>
      </w:pPr>
    </w:p>
    <w:p>
      <w:pPr>
        <w:pStyle w:val="Ttulo1"/>
        <w:numPr>
          <w:ilvl w:val="0"/>
          <w:numId w:val="29"/>
        </w:numPr>
        <w:tabs>
          <w:tab w:val="left" w:pos="426"/>
        </w:tabs>
        <w:ind w:left="0" w:firstLine="0"/>
        <w:rPr>
          <w:rFonts w:asciiTheme="majorHAnsi" w:hAnsiTheme="majorHAnsi" w:cs="Times New Roman"/>
        </w:rPr>
      </w:pPr>
      <w:bookmarkStart w:id="17" w:name="_heading=h.2jxsxqh" w:colFirst="0" w:colLast="0"/>
      <w:bookmarkEnd w:id="17"/>
      <w:r>
        <w:rPr>
          <w:rFonts w:asciiTheme="majorHAnsi" w:hAnsiTheme="majorHAnsi" w:cs="Times New Roman"/>
        </w:rPr>
        <w:t>DA ADJUDICAÇÃO E HOMOLOGAÇÃO.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lastRenderedPageBreak/>
        <w:t>Encerradas as fases de julgamento e habilitação, e exauridos os recursos administrativos, o processo licitatório será encaminhado à autoridade superior para adjudicar o objeto e homologar o procedimento, observado o disposto no art. 71 da Lei Federal nº 14.133, de 2021.</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autoridade competente poderá:</w:t>
      </w:r>
    </w:p>
    <w:p>
      <w:pPr>
        <w:numPr>
          <w:ilvl w:val="2"/>
          <w:numId w:val="2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anular o certame, total ou parcialmente, em razão de ilegalidade, determinando o aproveitamento dos atos não viciados; ou,</w:t>
      </w:r>
    </w:p>
    <w:p>
      <w:pPr>
        <w:numPr>
          <w:ilvl w:val="2"/>
          <w:numId w:val="20"/>
        </w:numPr>
        <w:pBdr>
          <w:top w:val="nil"/>
          <w:left w:val="nil"/>
          <w:bottom w:val="nil"/>
          <w:right w:val="nil"/>
          <w:between w:val="nil"/>
        </w:pBdr>
        <w:tabs>
          <w:tab w:val="left" w:pos="284"/>
        </w:tabs>
        <w:ind w:left="0" w:firstLine="0"/>
        <w:jc w:val="both"/>
        <w:rPr>
          <w:rFonts w:asciiTheme="majorHAnsi" w:eastAsia="Arial" w:hAnsiTheme="majorHAnsi"/>
          <w:color w:val="000000"/>
        </w:rPr>
      </w:pPr>
      <w:r>
        <w:rPr>
          <w:rFonts w:asciiTheme="majorHAnsi" w:eastAsia="Arial" w:hAnsiTheme="majorHAnsi"/>
          <w:color w:val="000000"/>
        </w:rPr>
        <w:t>revogar o certame, total ou parcialmente, por razões de conveniência e oportunidade, à luz do interesse público primário tutelado.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adjudicação e ou a homologação do resultado desta licitação não implicará direito à contratação.</w:t>
      </w:r>
    </w:p>
    <w:p>
      <w:pPr>
        <w:pBdr>
          <w:top w:val="nil"/>
          <w:left w:val="nil"/>
          <w:bottom w:val="nil"/>
          <w:right w:val="nil"/>
          <w:between w:val="nil"/>
        </w:pBdr>
        <w:tabs>
          <w:tab w:val="left" w:pos="284"/>
        </w:tabs>
        <w:jc w:val="both"/>
        <w:rPr>
          <w:rFonts w:asciiTheme="majorHAnsi" w:eastAsia="Arial" w:hAnsiTheme="majorHAnsi"/>
          <w:color w:val="000000"/>
        </w:rPr>
      </w:pPr>
      <w:r>
        <w:rPr>
          <w:rFonts w:asciiTheme="majorHAnsi" w:eastAsia="Arial" w:hAnsiTheme="majorHAnsi"/>
          <w:color w:val="000000"/>
        </w:rPr>
        <w:t xml:space="preserve">a) Não havendo homologação do certame após decorridos </w:t>
      </w:r>
      <w:r>
        <w:rPr>
          <w:rFonts w:asciiTheme="majorHAnsi" w:eastAsia="Arial" w:hAnsiTheme="majorHAnsi"/>
          <w:b/>
          <w:color w:val="000000"/>
        </w:rPr>
        <w:t>60 (sessenta) dias</w:t>
      </w:r>
      <w:r>
        <w:rPr>
          <w:rFonts w:asciiTheme="majorHAnsi" w:eastAsia="Arial" w:hAnsiTheme="majorHAnsi"/>
          <w:color w:val="000000"/>
        </w:rPr>
        <w:t xml:space="preserve"> da data de abertura das propostas, fica(m) o(s) licitante(s) liberado(s) dos compromissos assumidos em sua(s) proposta(s).</w:t>
      </w:r>
    </w:p>
    <w:p>
      <w:pPr>
        <w:jc w:val="both"/>
        <w:rPr>
          <w:rFonts w:asciiTheme="majorHAnsi" w:eastAsia="Arial" w:hAnsiTheme="majorHAnsi"/>
        </w:rPr>
      </w:pPr>
    </w:p>
    <w:p>
      <w:pPr>
        <w:pStyle w:val="Ttulo1"/>
        <w:numPr>
          <w:ilvl w:val="0"/>
          <w:numId w:val="29"/>
        </w:numPr>
        <w:tabs>
          <w:tab w:val="left" w:pos="426"/>
        </w:tabs>
        <w:ind w:left="0" w:firstLine="0"/>
        <w:rPr>
          <w:rFonts w:asciiTheme="majorHAnsi" w:hAnsiTheme="majorHAnsi" w:cs="Times New Roman"/>
        </w:rPr>
      </w:pPr>
      <w:bookmarkStart w:id="18" w:name="_heading=h.z337ya" w:colFirst="0" w:colLast="0"/>
      <w:bookmarkEnd w:id="18"/>
      <w:r>
        <w:rPr>
          <w:rFonts w:asciiTheme="majorHAnsi" w:hAnsiTheme="majorHAnsi" w:cs="Times New Roman"/>
        </w:rPr>
        <w:t>DA(S) DOTAÇÃO(ÕES) ORÇAMENTÁRIA(S)</w:t>
      </w:r>
    </w:p>
    <w:p>
      <w:pPr>
        <w:ind w:left="-1134"/>
        <w:rPr>
          <w:rFonts w:asciiTheme="majorHAnsi" w:eastAsia="Arial" w:hAnsiTheme="majorHAnsi"/>
          <w:highlight w:val="yellow"/>
        </w:rPr>
      </w:pPr>
      <w:r>
        <w:rPr>
          <w:rFonts w:asciiTheme="majorHAnsi" w:eastAsia="Arial" w:hAnsiTheme="majorHAnsi"/>
          <w:noProof/>
          <w:highlight w:val="yellow"/>
        </w:rPr>
        <w:drawing>
          <wp:inline distT="0" distB="0" distL="0" distR="0">
            <wp:extent cx="6448425" cy="85725"/>
            <wp:effectExtent l="0" t="0" r="0" b="0"/>
            <wp:docPr id="17645733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highlight w:val="yellow"/>
        </w:rPr>
      </w:pPr>
      <w:r>
        <w:rPr>
          <w:rFonts w:asciiTheme="majorHAnsi" w:eastAsia="Arial" w:hAnsiTheme="majorHAnsi"/>
          <w:color w:val="000000"/>
        </w:rPr>
        <w:t>As despesas decorrentes da contratação do objeto desta licitação correrão à conta de recursos específicos consignados no vigente Orçamento Municipal, inerentes a:</w:t>
      </w:r>
    </w:p>
    <w:p>
      <w:pPr>
        <w:pStyle w:val="PargrafodaLista"/>
        <w:tabs>
          <w:tab w:val="left" w:pos="426"/>
          <w:tab w:val="left" w:pos="2525"/>
          <w:tab w:val="center" w:pos="4873"/>
        </w:tabs>
        <w:ind w:left="0"/>
        <w:jc w:val="both"/>
        <w:rPr>
          <w:rFonts w:ascii="Cambria" w:hAnsi="Cambria"/>
          <w:b/>
          <w:sz w:val="22"/>
          <w:szCs w:val="22"/>
        </w:rPr>
      </w:pPr>
      <w:r>
        <w:rPr>
          <w:rFonts w:ascii="Cambria" w:hAnsi="Cambria"/>
          <w:b/>
          <w:sz w:val="22"/>
          <w:szCs w:val="22"/>
        </w:rPr>
        <w:t>SECRETARIA MUNICIPAL DE SAÚDE:</w:t>
      </w:r>
    </w:p>
    <w:p>
      <w:pPr>
        <w:pStyle w:val="PargrafodaLista"/>
        <w:tabs>
          <w:tab w:val="left" w:pos="284"/>
          <w:tab w:val="left" w:pos="2525"/>
          <w:tab w:val="center" w:pos="4873"/>
        </w:tabs>
        <w:ind w:left="0"/>
        <w:jc w:val="both"/>
        <w:rPr>
          <w:rFonts w:ascii="Cambria" w:hAnsi="Cambria"/>
          <w:sz w:val="22"/>
          <w:szCs w:val="22"/>
        </w:rPr>
      </w:pPr>
      <w:r>
        <w:rPr>
          <w:rFonts w:ascii="Cambria" w:hAnsi="Cambria"/>
          <w:sz w:val="22"/>
          <w:szCs w:val="22"/>
        </w:rPr>
        <w:t>UNID. ORÇAMENTÁRIA: 04 -  Secretaria de Saúde</w:t>
      </w:r>
    </w:p>
    <w:p>
      <w:pPr>
        <w:pStyle w:val="PargrafodaLista"/>
        <w:tabs>
          <w:tab w:val="left" w:pos="284"/>
          <w:tab w:val="left" w:pos="2525"/>
          <w:tab w:val="center" w:pos="4873"/>
        </w:tabs>
        <w:ind w:left="0"/>
        <w:jc w:val="both"/>
        <w:rPr>
          <w:rFonts w:ascii="Cambria" w:hAnsi="Cambria"/>
          <w:sz w:val="22"/>
          <w:szCs w:val="22"/>
        </w:rPr>
      </w:pPr>
      <w:r>
        <w:rPr>
          <w:rFonts w:ascii="Cambria" w:hAnsi="Cambria"/>
          <w:sz w:val="22"/>
          <w:szCs w:val="22"/>
        </w:rPr>
        <w:t>DOTAÇÕES ORÇAMENTÁRIAS: 0401.122.0014.2.009 – Recursos Próprios – Secretaria de Saúde</w:t>
      </w:r>
    </w:p>
    <w:p>
      <w:pPr>
        <w:pStyle w:val="PargrafodaLista"/>
        <w:tabs>
          <w:tab w:val="left" w:pos="284"/>
          <w:tab w:val="left" w:pos="2525"/>
          <w:tab w:val="center" w:pos="4873"/>
        </w:tabs>
        <w:ind w:left="0"/>
        <w:jc w:val="both"/>
        <w:rPr>
          <w:rFonts w:ascii="Cambria" w:hAnsi="Cambria"/>
          <w:sz w:val="22"/>
          <w:szCs w:val="22"/>
        </w:rPr>
      </w:pPr>
      <w:r>
        <w:rPr>
          <w:rFonts w:ascii="Cambria" w:hAnsi="Cambria"/>
          <w:sz w:val="22"/>
          <w:szCs w:val="22"/>
        </w:rPr>
        <w:t>ELEMENTO DESPESA: 4.4.90.52.00 – Equipamentos e material permanente</w:t>
      </w:r>
    </w:p>
    <w:p>
      <w:pPr>
        <w:pStyle w:val="PargrafodaLista"/>
        <w:tabs>
          <w:tab w:val="left" w:pos="284"/>
          <w:tab w:val="left" w:pos="2525"/>
          <w:tab w:val="center" w:pos="4873"/>
        </w:tabs>
        <w:ind w:left="0"/>
        <w:jc w:val="both"/>
        <w:rPr>
          <w:rFonts w:ascii="Cambria" w:hAnsi="Cambria"/>
          <w:sz w:val="22"/>
          <w:szCs w:val="22"/>
        </w:rPr>
      </w:pPr>
      <w:r>
        <w:rPr>
          <w:rFonts w:ascii="Cambria" w:hAnsi="Cambria"/>
          <w:sz w:val="22"/>
          <w:szCs w:val="22"/>
        </w:rPr>
        <w:t>FONTE DE RECURSO: 1500100200 – Receita de imposto e transf. saúde</w:t>
      </w:r>
    </w:p>
    <w:p>
      <w:pPr>
        <w:tabs>
          <w:tab w:val="left" w:pos="284"/>
          <w:tab w:val="left" w:pos="2525"/>
          <w:tab w:val="center" w:pos="4873"/>
        </w:tabs>
        <w:ind w:left="360"/>
        <w:jc w:val="both"/>
        <w:rPr>
          <w:rFonts w:ascii="Cambria" w:hAnsi="Cambria"/>
        </w:rPr>
      </w:pPr>
    </w:p>
    <w:p>
      <w:pPr>
        <w:tabs>
          <w:tab w:val="left" w:pos="142"/>
          <w:tab w:val="left" w:pos="2525"/>
          <w:tab w:val="center" w:pos="4873"/>
        </w:tabs>
        <w:jc w:val="both"/>
        <w:rPr>
          <w:rFonts w:ascii="Cambria" w:hAnsi="Cambria"/>
          <w:b/>
        </w:rPr>
      </w:pPr>
      <w:r>
        <w:rPr>
          <w:rFonts w:ascii="Cambria" w:hAnsi="Cambria"/>
          <w:b/>
        </w:rPr>
        <w:t>SECRETARIA MUNICIPAL DE TRABALHO E ASSISTENCIA SOCIAL:</w:t>
      </w:r>
    </w:p>
    <w:p>
      <w:pPr>
        <w:tabs>
          <w:tab w:val="left" w:pos="142"/>
          <w:tab w:val="left" w:pos="284"/>
          <w:tab w:val="left" w:pos="2525"/>
          <w:tab w:val="center" w:pos="4873"/>
        </w:tabs>
        <w:jc w:val="both"/>
        <w:rPr>
          <w:rFonts w:ascii="Cambria" w:hAnsi="Cambria"/>
        </w:rPr>
      </w:pPr>
      <w:r>
        <w:rPr>
          <w:rFonts w:ascii="Cambria" w:hAnsi="Cambria"/>
        </w:rPr>
        <w:t>UNID. ORÇAMENTÁRIA: 0504 – Fundo municipal de Assistência Social</w:t>
      </w:r>
    </w:p>
    <w:p>
      <w:pPr>
        <w:tabs>
          <w:tab w:val="left" w:pos="142"/>
          <w:tab w:val="left" w:pos="284"/>
          <w:tab w:val="left" w:pos="2525"/>
          <w:tab w:val="center" w:pos="4873"/>
        </w:tabs>
        <w:jc w:val="both"/>
        <w:rPr>
          <w:rFonts w:ascii="Cambria" w:hAnsi="Cambria"/>
        </w:rPr>
      </w:pPr>
      <w:r>
        <w:rPr>
          <w:rFonts w:ascii="Cambria" w:hAnsi="Cambria"/>
        </w:rPr>
        <w:t>DOTAÇÕES ORÇAMENTÁRIAS: 08.244.0007.2.032 – IGD – PAB – Índice de Gestão Descentralizada do Programa Bolsa Família</w:t>
      </w:r>
    </w:p>
    <w:p>
      <w:pPr>
        <w:tabs>
          <w:tab w:val="left" w:pos="142"/>
          <w:tab w:val="left" w:pos="284"/>
          <w:tab w:val="left" w:pos="2525"/>
          <w:tab w:val="center" w:pos="4873"/>
        </w:tabs>
        <w:jc w:val="both"/>
        <w:rPr>
          <w:rFonts w:ascii="Cambria" w:hAnsi="Cambria"/>
        </w:rPr>
      </w:pPr>
      <w:r>
        <w:rPr>
          <w:rFonts w:ascii="Cambria" w:hAnsi="Cambria"/>
        </w:rPr>
        <w:t>ELEMENTO DESPESA: 4.4.90.52.00 – Equipamentos e material permanente</w:t>
      </w:r>
    </w:p>
    <w:p>
      <w:pPr>
        <w:tabs>
          <w:tab w:val="left" w:pos="142"/>
          <w:tab w:val="left" w:pos="284"/>
          <w:tab w:val="left" w:pos="2525"/>
          <w:tab w:val="center" w:pos="4873"/>
        </w:tabs>
        <w:jc w:val="both"/>
        <w:rPr>
          <w:rFonts w:ascii="Cambria" w:hAnsi="Cambria"/>
        </w:rPr>
      </w:pPr>
      <w:r>
        <w:rPr>
          <w:rFonts w:ascii="Cambria" w:hAnsi="Cambria"/>
        </w:rPr>
        <w:t>FONTE DE RECURSO: 1660000000 – Transferência de recursos FNAS</w:t>
      </w:r>
    </w:p>
    <w:p>
      <w:pPr>
        <w:tabs>
          <w:tab w:val="left" w:pos="142"/>
          <w:tab w:val="left" w:pos="284"/>
          <w:tab w:val="left" w:pos="2525"/>
          <w:tab w:val="center" w:pos="4873"/>
        </w:tabs>
        <w:jc w:val="both"/>
        <w:rPr>
          <w:rFonts w:ascii="Cambria" w:hAnsi="Cambria"/>
        </w:rPr>
      </w:pPr>
    </w:p>
    <w:p>
      <w:pPr>
        <w:tabs>
          <w:tab w:val="left" w:pos="142"/>
          <w:tab w:val="left" w:pos="284"/>
          <w:tab w:val="left" w:pos="2525"/>
          <w:tab w:val="center" w:pos="4873"/>
        </w:tabs>
        <w:jc w:val="both"/>
        <w:rPr>
          <w:rFonts w:ascii="Cambria" w:hAnsi="Cambria"/>
        </w:rPr>
      </w:pPr>
      <w:r>
        <w:rPr>
          <w:rFonts w:ascii="Cambria" w:hAnsi="Cambria"/>
        </w:rPr>
        <w:t>UNID. ORÇAMENTÁRIA: 0501 – Secretaria do Trabalho e Assistência Social</w:t>
      </w:r>
    </w:p>
    <w:p>
      <w:pPr>
        <w:tabs>
          <w:tab w:val="left" w:pos="142"/>
          <w:tab w:val="left" w:pos="284"/>
          <w:tab w:val="left" w:pos="2525"/>
          <w:tab w:val="center" w:pos="4873"/>
        </w:tabs>
        <w:jc w:val="both"/>
        <w:rPr>
          <w:rFonts w:ascii="Cambria" w:hAnsi="Cambria"/>
        </w:rPr>
      </w:pPr>
      <w:r>
        <w:rPr>
          <w:rFonts w:ascii="Cambria" w:hAnsi="Cambria"/>
        </w:rPr>
        <w:t>DOTAÇÕES ORÇAMENTÁRIAS: 08.122.0014.2.016 – Manutenção e Funcionamento da Secretaria Municipal do Trabalho e Assistência Social</w:t>
      </w:r>
    </w:p>
    <w:p>
      <w:pPr>
        <w:tabs>
          <w:tab w:val="left" w:pos="142"/>
          <w:tab w:val="left" w:pos="284"/>
          <w:tab w:val="left" w:pos="2525"/>
          <w:tab w:val="center" w:pos="4873"/>
        </w:tabs>
        <w:jc w:val="both"/>
        <w:rPr>
          <w:rFonts w:ascii="Cambria" w:hAnsi="Cambria"/>
        </w:rPr>
      </w:pPr>
      <w:r>
        <w:rPr>
          <w:rFonts w:ascii="Cambria" w:hAnsi="Cambria"/>
        </w:rPr>
        <w:t>ELEMENTO DESPESA: 4.4.90.52.00 – Equipamentos e material permanente</w:t>
      </w:r>
    </w:p>
    <w:p>
      <w:pPr>
        <w:tabs>
          <w:tab w:val="left" w:pos="142"/>
          <w:tab w:val="left" w:pos="284"/>
          <w:tab w:val="left" w:pos="2525"/>
          <w:tab w:val="center" w:pos="4873"/>
        </w:tabs>
        <w:jc w:val="both"/>
        <w:rPr>
          <w:rFonts w:ascii="Cambria" w:hAnsi="Cambria"/>
        </w:rPr>
      </w:pPr>
      <w:r>
        <w:rPr>
          <w:rFonts w:ascii="Cambria" w:hAnsi="Cambria"/>
        </w:rPr>
        <w:t>FONTE DE RECURSO: 1500000000 – Recursos não vinculados de impostos</w:t>
      </w:r>
    </w:p>
    <w:p>
      <w:pPr>
        <w:tabs>
          <w:tab w:val="left" w:pos="142"/>
          <w:tab w:val="left" w:pos="284"/>
          <w:tab w:val="left" w:pos="2525"/>
          <w:tab w:val="center" w:pos="4873"/>
        </w:tabs>
        <w:jc w:val="both"/>
        <w:rPr>
          <w:rFonts w:ascii="Cambria" w:hAnsi="Cambria"/>
        </w:rPr>
      </w:pPr>
    </w:p>
    <w:p>
      <w:pPr>
        <w:tabs>
          <w:tab w:val="left" w:pos="142"/>
          <w:tab w:val="left" w:pos="2525"/>
          <w:tab w:val="center" w:pos="4873"/>
        </w:tabs>
        <w:jc w:val="both"/>
        <w:rPr>
          <w:rFonts w:ascii="Cambria" w:hAnsi="Cambria"/>
          <w:b/>
        </w:rPr>
      </w:pPr>
      <w:r>
        <w:rPr>
          <w:rFonts w:ascii="Cambria" w:hAnsi="Cambria"/>
          <w:b/>
        </w:rPr>
        <w:t>SECRETARIA MUNICIPAL DE AGRICULTURA E MEIO AMBIENTE:</w:t>
      </w:r>
    </w:p>
    <w:p>
      <w:pPr>
        <w:tabs>
          <w:tab w:val="left" w:pos="142"/>
          <w:tab w:val="left" w:pos="284"/>
          <w:tab w:val="left" w:pos="2525"/>
          <w:tab w:val="center" w:pos="4873"/>
        </w:tabs>
        <w:jc w:val="both"/>
        <w:rPr>
          <w:rFonts w:ascii="Cambria" w:hAnsi="Cambria"/>
        </w:rPr>
      </w:pPr>
      <w:r>
        <w:rPr>
          <w:rFonts w:ascii="Cambria" w:hAnsi="Cambria"/>
        </w:rPr>
        <w:t>UNID. ORÇAMENTÁRIA: 0601 – Secretaria Municipal de Agricultura e Meio Ambiente</w:t>
      </w:r>
    </w:p>
    <w:p>
      <w:pPr>
        <w:tabs>
          <w:tab w:val="left" w:pos="142"/>
          <w:tab w:val="left" w:pos="284"/>
          <w:tab w:val="left" w:pos="2525"/>
          <w:tab w:val="center" w:pos="4873"/>
        </w:tabs>
        <w:jc w:val="both"/>
        <w:rPr>
          <w:rFonts w:ascii="Cambria" w:hAnsi="Cambria"/>
        </w:rPr>
      </w:pPr>
      <w:r>
        <w:rPr>
          <w:rFonts w:ascii="Cambria" w:hAnsi="Cambria"/>
        </w:rPr>
        <w:t>DOTAÇÕES ORÇAMENTÁRIAS: 20.122.0014.2.039 – Funcionamento da Secretaria de Agricultura e Meio Ambiente</w:t>
      </w:r>
    </w:p>
    <w:p>
      <w:pPr>
        <w:tabs>
          <w:tab w:val="left" w:pos="142"/>
          <w:tab w:val="left" w:pos="284"/>
          <w:tab w:val="left" w:pos="2525"/>
          <w:tab w:val="center" w:pos="4873"/>
        </w:tabs>
        <w:jc w:val="both"/>
        <w:rPr>
          <w:rFonts w:ascii="Cambria" w:hAnsi="Cambria"/>
        </w:rPr>
      </w:pPr>
      <w:r>
        <w:rPr>
          <w:rFonts w:ascii="Cambria" w:hAnsi="Cambria"/>
        </w:rPr>
        <w:t>ELEMENTO DESPESA: 4.4.90.52.00 – Equipamentos e material permanente</w:t>
      </w:r>
    </w:p>
    <w:p>
      <w:pPr>
        <w:tabs>
          <w:tab w:val="left" w:pos="142"/>
          <w:tab w:val="left" w:pos="284"/>
          <w:tab w:val="left" w:pos="2525"/>
          <w:tab w:val="center" w:pos="4873"/>
        </w:tabs>
        <w:jc w:val="both"/>
        <w:rPr>
          <w:rFonts w:ascii="Cambria" w:hAnsi="Cambria"/>
        </w:rPr>
      </w:pPr>
      <w:r>
        <w:rPr>
          <w:rFonts w:ascii="Cambria" w:hAnsi="Cambria"/>
        </w:rPr>
        <w:t>FONTE DE RECURSO: 1500000000 – Recursos não vinculados de impostos</w:t>
      </w:r>
    </w:p>
    <w:p>
      <w:pPr>
        <w:pBdr>
          <w:top w:val="nil"/>
          <w:left w:val="nil"/>
          <w:bottom w:val="nil"/>
          <w:right w:val="nil"/>
          <w:between w:val="nil"/>
        </w:pBdr>
        <w:tabs>
          <w:tab w:val="left" w:pos="567"/>
        </w:tabs>
        <w:jc w:val="both"/>
        <w:rPr>
          <w:rFonts w:asciiTheme="majorHAnsi" w:eastAsia="Arial" w:hAnsiTheme="majorHAnsi"/>
          <w:color w:val="000000"/>
        </w:rPr>
      </w:pPr>
    </w:p>
    <w:p>
      <w:pPr>
        <w:pStyle w:val="Ttulo1"/>
        <w:numPr>
          <w:ilvl w:val="0"/>
          <w:numId w:val="29"/>
        </w:numPr>
        <w:tabs>
          <w:tab w:val="left" w:pos="426"/>
        </w:tabs>
        <w:ind w:left="0" w:firstLine="0"/>
        <w:rPr>
          <w:rFonts w:asciiTheme="majorHAnsi" w:hAnsiTheme="majorHAnsi" w:cs="Times New Roman"/>
        </w:rPr>
      </w:pPr>
      <w:bookmarkStart w:id="19" w:name="_heading=h.3j2qqm3" w:colFirst="0" w:colLast="0"/>
      <w:bookmarkEnd w:id="19"/>
      <w:r>
        <w:rPr>
          <w:rFonts w:asciiTheme="majorHAnsi" w:hAnsiTheme="majorHAnsi" w:cs="Times New Roman"/>
        </w:rPr>
        <w:t xml:space="preserve">DA FORMALIZAÇÃO DAS CONTRATAÇÕES </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DO INSTRUMENTO CONTRATUAL:</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A Administração convocará o adjudicatário para assinatura, mediante correspondência meio eletrônico, para que seja assinado no prazo de 05(cinco) dias, a contar da data de seu </w:t>
      </w:r>
      <w:r>
        <w:rPr>
          <w:rFonts w:asciiTheme="majorHAnsi" w:eastAsia="Arial" w:hAnsiTheme="majorHAnsi"/>
          <w:color w:val="000000"/>
        </w:rPr>
        <w:lastRenderedPageBreak/>
        <w:t>recebimento da convocação, sob pena de decair do direito à contratação, sem prejuízo das sanções previstas neste Edital.</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O prazo previsto no subitem anterior poderá ser prorrogado, por igual período, por solicitação justificada do adjudicatário e aceita pela Administração.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Na formalização do contrato ou do instrumento substituto deverá haver a indicação da disponibilidade dos créditos orçamentários respectivos.</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Incumbirá à Administração providenciar a publicação do extrato do contrato nos termos do parágrafo único art. 61 da Lei nº 14.133/2021 de 1º de abril de 2021.</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b/>
          <w:color w:val="000000"/>
          <w:u w:val="single"/>
        </w:rPr>
      </w:pPr>
      <w:r>
        <w:rPr>
          <w:rFonts w:asciiTheme="majorHAnsi" w:eastAsia="Arial" w:hAnsiTheme="majorHAnsi"/>
          <w:b/>
          <w:color w:val="000000"/>
          <w:u w:val="single"/>
        </w:rPr>
        <w:t>DA MANUTENÇÃO DAS CONDIÇÕES DE HABILITAÇÃO E DAS IMPLICAÇÕES POR NÃO ATENDIMENTO A CONVOCAÇÃO: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Se o adjudicatário quando, injustificadamente, recusar-se à assinatura do contrato, poderá ser convocado outro proponente, desde que respeitada a ordem de classificação, para, após a verificação da aceitabilidade da proposta, negociação e comprovados os requisitos de habilitação, celebrar a contratação, sem prejuízo das sanções previstas neste Edital e das demais cominações legais.</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pStyle w:val="Ttulo1"/>
        <w:numPr>
          <w:ilvl w:val="0"/>
          <w:numId w:val="29"/>
        </w:numPr>
        <w:tabs>
          <w:tab w:val="left" w:pos="426"/>
        </w:tabs>
        <w:ind w:left="0" w:firstLine="0"/>
        <w:rPr>
          <w:rFonts w:asciiTheme="majorHAnsi" w:hAnsiTheme="majorHAnsi" w:cs="Times New Roman"/>
        </w:rPr>
      </w:pPr>
      <w:bookmarkStart w:id="20" w:name="_heading=h.1y810tw" w:colFirst="0" w:colLast="0"/>
      <w:bookmarkEnd w:id="20"/>
      <w:r>
        <w:rPr>
          <w:rFonts w:asciiTheme="majorHAnsi" w:hAnsiTheme="majorHAnsi" w:cs="Times New Roman"/>
        </w:rPr>
        <w:t>DO PAGAMENTO E DEMAIS CONDIÇÕES DO OBJETO</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As condições de pagamento, obrigações, detalhamentos e demais especificidades quanto ao objeto e não abordados na parte geral desse edital, serão aquelas constantes do Termo de Referências e seus anexos. </w:t>
      </w:r>
    </w:p>
    <w:p>
      <w:pPr>
        <w:pBdr>
          <w:top w:val="nil"/>
          <w:left w:val="nil"/>
          <w:bottom w:val="nil"/>
          <w:right w:val="nil"/>
          <w:between w:val="nil"/>
        </w:pBdr>
        <w:tabs>
          <w:tab w:val="left" w:pos="-1701"/>
          <w:tab w:val="left" w:pos="809"/>
        </w:tabs>
        <w:jc w:val="both"/>
        <w:rPr>
          <w:rFonts w:asciiTheme="majorHAnsi" w:eastAsia="Arial" w:hAnsiTheme="majorHAnsi"/>
          <w:color w:val="000000"/>
        </w:rPr>
      </w:pPr>
    </w:p>
    <w:p>
      <w:pPr>
        <w:pStyle w:val="Ttulo1"/>
        <w:numPr>
          <w:ilvl w:val="0"/>
          <w:numId w:val="29"/>
        </w:numPr>
        <w:tabs>
          <w:tab w:val="left" w:pos="426"/>
        </w:tabs>
        <w:ind w:left="284"/>
        <w:rPr>
          <w:rFonts w:asciiTheme="majorHAnsi" w:hAnsiTheme="majorHAnsi" w:cs="Times New Roman"/>
        </w:rPr>
      </w:pPr>
      <w:bookmarkStart w:id="21" w:name="_heading=h.4i7ojhp" w:colFirst="0" w:colLast="0"/>
      <w:bookmarkEnd w:id="21"/>
      <w:r>
        <w:rPr>
          <w:rFonts w:asciiTheme="majorHAnsi" w:hAnsiTheme="majorHAnsi" w:cs="Times New Roman"/>
        </w:rPr>
        <w:t xml:space="preserve">DAS INFRAÇÕES E SANÇÕES </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Ficarão sujeitos às penalidades previstas na Lei n.º 12.846/2013 aqueles que cometerem atos lesivos à administração pública, assim definidos, no tocante a licitações e contratos:</w:t>
      </w:r>
    </w:p>
    <w:p>
      <w:pPr>
        <w:pBdr>
          <w:top w:val="nil"/>
          <w:left w:val="nil"/>
          <w:bottom w:val="nil"/>
          <w:right w:val="nil"/>
          <w:between w:val="nil"/>
        </w:pBdr>
        <w:tabs>
          <w:tab w:val="left" w:pos="567"/>
        </w:tabs>
        <w:jc w:val="both"/>
        <w:rPr>
          <w:rFonts w:asciiTheme="majorHAnsi" w:eastAsia="Arial" w:hAnsiTheme="majorHAnsi"/>
          <w:color w:val="000000"/>
        </w:rPr>
      </w:pP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frustrar ou fraudar, mediante ajuste, combinação ou qualquer outro expediente, o caráter competitivo de procedimento licitatório público;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impedir, perturbar ou fraudar a realização de qualquer ato de procedimento licitatório público;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afastar ou procurar afastar licitante, por meio de fraude ou oferecimento de vantagem de qualquer tipo;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fraudar licitação pública ou contrato dela decorrente;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criar, de modo fraudulento ou irregular, pessoa jurídica para participar de licitação pública ou celebrar contrato administrativo;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numPr>
          <w:ilvl w:val="2"/>
          <w:numId w:val="21"/>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manipular ou fraudar o equilíbrio econômico-financeiro dos contratos celebrados com a administração pública.</w:t>
      </w:r>
    </w:p>
    <w:p>
      <w:pPr>
        <w:pBdr>
          <w:top w:val="nil"/>
          <w:left w:val="nil"/>
          <w:bottom w:val="nil"/>
          <w:right w:val="nil"/>
          <w:between w:val="nil"/>
        </w:pBdr>
        <w:tabs>
          <w:tab w:val="left" w:pos="567"/>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Comete infração administrativa, nos termos da </w:t>
      </w:r>
      <w:hyperlink r:id="rId11">
        <w:r>
          <w:rPr>
            <w:rFonts w:asciiTheme="majorHAnsi" w:eastAsia="Arial" w:hAnsiTheme="majorHAnsi"/>
            <w:color w:val="000000"/>
          </w:rPr>
          <w:t>Lei nº 14.133, de 2021</w:t>
        </w:r>
      </w:hyperlink>
      <w:r>
        <w:rPr>
          <w:rFonts w:asciiTheme="majorHAnsi" w:eastAsia="Arial" w:hAnsiTheme="majorHAnsi"/>
          <w:color w:val="000000"/>
        </w:rPr>
        <w:t>, o licitante/adjudicatário que, com dolo ou culpa:</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2" w:name="_heading=h.2xcytpi" w:colFirst="0" w:colLast="0"/>
      <w:bookmarkEnd w:id="22"/>
      <w:r>
        <w:rPr>
          <w:rFonts w:asciiTheme="majorHAnsi" w:eastAsia="Arial" w:hAnsiTheme="majorHAnsi"/>
          <w:color w:val="000000"/>
        </w:rPr>
        <w:lastRenderedPageBreak/>
        <w:t>deixar de entregar a documentação exigida para o certame ou não entregar qualquer documento que tenha sido solicitado pelo/a pregoeiro/a durante o certame;</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3" w:name="_heading=h.1ci93xb" w:colFirst="0" w:colLast="0"/>
      <w:bookmarkEnd w:id="23"/>
      <w:r>
        <w:rPr>
          <w:rFonts w:asciiTheme="majorHAnsi" w:eastAsia="Arial" w:hAnsiTheme="majorHAnsi"/>
          <w:color w:val="000000"/>
        </w:rPr>
        <w:t>Salvo em decorrência de fato superveniente devidamente justificado, não mantiver a proposta em especial quando:</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r>
        <w:rPr>
          <w:rFonts w:asciiTheme="majorHAnsi" w:eastAsia="Arial" w:hAnsiTheme="majorHAnsi"/>
          <w:color w:val="000000"/>
        </w:rPr>
        <w:t xml:space="preserve">b.1) não enviar a proposta adequada ao último lance ofertado ou após a negociação; </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r>
        <w:rPr>
          <w:rFonts w:asciiTheme="majorHAnsi" w:eastAsia="Arial" w:hAnsiTheme="majorHAnsi"/>
          <w:color w:val="000000"/>
        </w:rPr>
        <w:t xml:space="preserve">b.2) recusar-se a enviar o detalhamento da proposta quando exigível; </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r>
        <w:rPr>
          <w:rFonts w:asciiTheme="majorHAnsi" w:eastAsia="Arial" w:hAnsiTheme="majorHAnsi"/>
          <w:color w:val="000000"/>
        </w:rPr>
        <w:t xml:space="preserve">b.3) pedir para ser desclassificado quando encerrada a etapa competitiva; ou </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r>
        <w:rPr>
          <w:rFonts w:asciiTheme="majorHAnsi" w:eastAsia="Arial" w:hAnsiTheme="majorHAnsi"/>
          <w:color w:val="000000"/>
        </w:rPr>
        <w:t>b.4) deixar de apresentar amostra;</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r>
        <w:rPr>
          <w:rFonts w:asciiTheme="majorHAnsi" w:eastAsia="Arial" w:hAnsiTheme="majorHAnsi"/>
          <w:color w:val="000000"/>
        </w:rPr>
        <w:t xml:space="preserve">b.5) apresentar proposta ou amostra em desacordo com as especificações do edital; </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4" w:name="_heading=h.3whwml4" w:colFirst="0" w:colLast="0"/>
      <w:bookmarkEnd w:id="24"/>
      <w:r>
        <w:rPr>
          <w:rFonts w:asciiTheme="majorHAnsi" w:eastAsia="Arial" w:hAnsiTheme="majorHAnsi"/>
          <w:color w:val="000000"/>
        </w:rPr>
        <w:t>não celebrar o contrato ou não entregar a documentação exigida para a assinatura de tais instrumentos, quando convocado dentro do prazo de validade de sua proposta;</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recusar-se, sem justificativa, a assinar o contrato, ou a aceitar ou retirar o instrumento equivalente no prazo estabelecido pela Administração;</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5" w:name="_heading=h.2bn6wsx" w:colFirst="0" w:colLast="0"/>
      <w:bookmarkEnd w:id="25"/>
      <w:r>
        <w:rPr>
          <w:rFonts w:asciiTheme="majorHAnsi" w:eastAsia="Arial" w:hAnsiTheme="majorHAnsi"/>
          <w:color w:val="000000"/>
        </w:rPr>
        <w:t>apresentar declaração ou documentação falsa exigida para o certame ou prestar declaração falsa durante a licitação;</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6" w:name="_heading=h.qsh70q" w:colFirst="0" w:colLast="0"/>
      <w:bookmarkEnd w:id="26"/>
      <w:r>
        <w:rPr>
          <w:rFonts w:asciiTheme="majorHAnsi" w:eastAsia="Arial" w:hAnsiTheme="majorHAnsi"/>
          <w:color w:val="000000"/>
        </w:rPr>
        <w:t>fraudar a licitação;</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7" w:name="_heading=h.3as4poj" w:colFirst="0" w:colLast="0"/>
      <w:bookmarkEnd w:id="27"/>
      <w:r>
        <w:rPr>
          <w:rFonts w:asciiTheme="majorHAnsi" w:eastAsia="Arial" w:hAnsiTheme="majorHAnsi"/>
          <w:color w:val="000000"/>
        </w:rPr>
        <w:t>comportar-se de modo inidôneo ou cometer fraude de qualquer natureza, em especial quando:</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agir em conluio ou em desconformidade com a lei; </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induzir deliberadamente a erro no julgamento; </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r>
        <w:rPr>
          <w:rFonts w:asciiTheme="majorHAnsi" w:eastAsia="Arial" w:hAnsiTheme="majorHAnsi"/>
          <w:color w:val="000000"/>
        </w:rPr>
        <w:t xml:space="preserve">apresentar amostra falsificada ou deteriorada; </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8" w:name="_heading=h.1pxezwc" w:colFirst="0" w:colLast="0"/>
      <w:bookmarkEnd w:id="28"/>
      <w:r>
        <w:rPr>
          <w:rFonts w:asciiTheme="majorHAnsi" w:eastAsia="Arial" w:hAnsiTheme="majorHAnsi"/>
          <w:color w:val="000000"/>
        </w:rPr>
        <w:t>praticar atos ilícitos com vistas a frustrar os objetivos da licitação;</w:t>
      </w:r>
    </w:p>
    <w:p>
      <w:pPr>
        <w:numPr>
          <w:ilvl w:val="2"/>
          <w:numId w:val="22"/>
        </w:numPr>
        <w:pBdr>
          <w:top w:val="nil"/>
          <w:left w:val="nil"/>
          <w:bottom w:val="nil"/>
          <w:right w:val="nil"/>
          <w:between w:val="nil"/>
        </w:pBdr>
        <w:tabs>
          <w:tab w:val="left" w:pos="284"/>
          <w:tab w:val="left" w:pos="851"/>
          <w:tab w:val="left" w:pos="1276"/>
          <w:tab w:val="left" w:pos="2525"/>
          <w:tab w:val="center" w:pos="4873"/>
        </w:tabs>
        <w:ind w:left="0" w:firstLine="0"/>
        <w:jc w:val="both"/>
        <w:rPr>
          <w:rFonts w:asciiTheme="majorHAnsi" w:eastAsia="Arial" w:hAnsiTheme="majorHAnsi"/>
          <w:color w:val="000000"/>
        </w:rPr>
      </w:pPr>
      <w:bookmarkStart w:id="29" w:name="_heading=h.49x2ik5" w:colFirst="0" w:colLast="0"/>
      <w:bookmarkEnd w:id="29"/>
      <w:r>
        <w:rPr>
          <w:rFonts w:asciiTheme="majorHAnsi" w:eastAsia="Arial" w:hAnsiTheme="majorHAnsi"/>
          <w:color w:val="000000"/>
        </w:rPr>
        <w:t xml:space="preserve">praticar ato lesivo previsto no </w:t>
      </w:r>
      <w:hyperlink r:id="rId12" w:anchor="art5">
        <w:r>
          <w:rPr>
            <w:rFonts w:asciiTheme="majorHAnsi" w:eastAsia="Arial" w:hAnsiTheme="majorHAnsi"/>
            <w:color w:val="000000"/>
          </w:rPr>
          <w:t>art. 5º da Lei n.º 12.846, de 2013</w:t>
        </w:r>
      </w:hyperlink>
      <w:r>
        <w:rPr>
          <w:rFonts w:asciiTheme="majorHAnsi" w:eastAsia="Arial" w:hAnsiTheme="majorHAnsi"/>
          <w:color w:val="000000"/>
        </w:rPr>
        <w:t>.</w:t>
      </w:r>
    </w:p>
    <w:p>
      <w:pPr>
        <w:pBdr>
          <w:top w:val="nil"/>
          <w:left w:val="nil"/>
          <w:bottom w:val="nil"/>
          <w:right w:val="nil"/>
          <w:between w:val="nil"/>
        </w:pBdr>
        <w:tabs>
          <w:tab w:val="left" w:pos="284"/>
          <w:tab w:val="left" w:pos="851"/>
          <w:tab w:val="left" w:pos="1276"/>
          <w:tab w:val="left" w:pos="2525"/>
          <w:tab w:val="center" w:pos="4873"/>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Nos termos dos arts. 155, 156 e 162 da Lei 14.133/2021 e das disposições constantes do Termo de referência, após o regular Procedimento Administrativo de Apuração de Responsabilidade - PAAR, serão apenadas de acordo com a seguinte dosimetria, sem prejuízo das multas eventualmente previstas no Termo de Referência e das demais penalidades legais, assegurado a prévia e ampla defesa:</w:t>
      </w:r>
    </w:p>
    <w:p>
      <w:pPr>
        <w:jc w:val="both"/>
        <w:rPr>
          <w:rFonts w:asciiTheme="majorHAnsi" w:eastAsia="Arial" w:hAnsiTheme="majorHAnsi"/>
        </w:rPr>
      </w:pPr>
    </w:p>
    <w:tbl>
      <w:tblPr>
        <w:tblStyle w:val="a8"/>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482"/>
        <w:gridCol w:w="4579"/>
      </w:tblGrid>
      <w:tr>
        <w:tc>
          <w:tcPr>
            <w:tcW w:w="2473" w:type="pct"/>
            <w:shd w:val="clear" w:color="auto" w:fill="F2F2F2"/>
          </w:tcPr>
          <w:p>
            <w:pPr>
              <w:widowControl/>
              <w:pBdr>
                <w:top w:val="nil"/>
                <w:left w:val="nil"/>
                <w:bottom w:val="nil"/>
                <w:right w:val="nil"/>
                <w:between w:val="nil"/>
              </w:pBdr>
              <w:jc w:val="center"/>
              <w:rPr>
                <w:rFonts w:asciiTheme="majorHAnsi" w:eastAsia="Arial" w:hAnsiTheme="majorHAnsi"/>
                <w:b/>
                <w:color w:val="000000"/>
                <w:lang w:val="pt-BR"/>
              </w:rPr>
            </w:pPr>
            <w:bookmarkStart w:id="30" w:name="_heading=h.2p2csry" w:colFirst="0" w:colLast="0"/>
            <w:bookmarkEnd w:id="30"/>
            <w:r>
              <w:rPr>
                <w:rFonts w:asciiTheme="majorHAnsi" w:eastAsia="Arial" w:hAnsiTheme="majorHAnsi"/>
                <w:b/>
                <w:color w:val="000000"/>
                <w:lang w:val="pt-BR"/>
              </w:rPr>
              <w:t>Ocorrência</w:t>
            </w:r>
          </w:p>
        </w:tc>
        <w:tc>
          <w:tcPr>
            <w:tcW w:w="2527" w:type="pct"/>
            <w:shd w:val="clear" w:color="auto" w:fill="F2F2F2"/>
          </w:tcPr>
          <w:p>
            <w:pPr>
              <w:widowControl/>
              <w:pBdr>
                <w:top w:val="nil"/>
                <w:left w:val="nil"/>
                <w:bottom w:val="nil"/>
                <w:right w:val="nil"/>
                <w:between w:val="nil"/>
              </w:pBdr>
              <w:jc w:val="center"/>
              <w:rPr>
                <w:rFonts w:asciiTheme="majorHAnsi" w:eastAsia="Arial" w:hAnsiTheme="majorHAnsi"/>
                <w:b/>
                <w:color w:val="000000"/>
                <w:lang w:val="pt-BR"/>
              </w:rPr>
            </w:pPr>
            <w:r>
              <w:rPr>
                <w:rFonts w:asciiTheme="majorHAnsi" w:eastAsia="Arial" w:hAnsiTheme="majorHAnsi"/>
                <w:b/>
                <w:color w:val="000000"/>
                <w:lang w:val="pt-BR"/>
              </w:rPr>
              <w:t>Penalidade</w:t>
            </w:r>
          </w:p>
        </w:tc>
      </w:tr>
      <w:tr>
        <w:tc>
          <w:tcPr>
            <w:tcW w:w="2473" w:type="pct"/>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Dar causa a inexecução parcial do objeto.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Advertência, quando não se justificar a imposição de penalidade mais grave </w:t>
            </w:r>
          </w:p>
        </w:tc>
      </w:tr>
      <w:tr>
        <w:tc>
          <w:tcPr>
            <w:tcW w:w="2473" w:type="pct"/>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Dar causa à inexecução parcial do objeto que cause grave dano à Administração, ao funcionamento dos serviços públicos ou ao interesse coletivo.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6 (seis) meses a 2 (dois) anos,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Dar causa à inexecução total do objeto.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1 um) ano a 3 (três) anos,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Deixar de entregar documentação exigida para o certame.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1 mês a 6 meses,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Não mantiver a proposta, salvo em decorrência de fato superveniente devidamente justificado.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2 (dois) meses a 1 (um) ano,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Não entregar a documentação exigida para a contratação quando convocado dentro do prazo de validade de sua proposta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3 (três) meses a 2 (dois) anos,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lastRenderedPageBreak/>
              <w:t xml:space="preserve">Ensejar o retardamento da execução do objeto ou da entrega do objeto da licitação sem motivo justificado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Impedimento de licitar e contratar no âmbito da União pelo período de 3 (três) meses a 1 (um) ano e 6 (seis) meses, quando não se justificar a imposição de penalidade mais grave.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Apresentar declaração ou documentação falsa exigida para o certame ou prestar declaração falsa durante a licitação ou a execução do objeto</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Declaração de inidoneidade para licitar ou contratar, pelo período de 3 (três) a 6 (seis) anos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Fraudar a licitação ou praticar ato fraudulento na execução do objeto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Declaração de inidoneidade para licitar ou contratar, pelo período de 3 (três) a 6 (seis) anos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Comportar-se de modo inidôneo ou cometer fraude de qualquer natureza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Declaração de inidoneidade para licitar ou contratar, pelo período de 3 (três) a 6 (seis) anos </w:t>
            </w:r>
          </w:p>
        </w:tc>
      </w:tr>
      <w:tr>
        <w:tc>
          <w:tcPr>
            <w:tcW w:w="2473" w:type="pct"/>
            <w:shd w:val="clear" w:color="auto" w:fill="auto"/>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Praticar atos ilícitos com vistas a frustrar os objetivos da licitação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Declaração de inidoneidade para licitar ou contratar, pelo período de 3 (três) a 6 (seis) anos </w:t>
            </w:r>
          </w:p>
        </w:tc>
      </w:tr>
      <w:tr>
        <w:tc>
          <w:tcPr>
            <w:tcW w:w="2473" w:type="pct"/>
            <w:vAlign w:val="center"/>
          </w:tcPr>
          <w:p>
            <w:pPr>
              <w:widowControl/>
              <w:numPr>
                <w:ilvl w:val="0"/>
                <w:numId w:val="23"/>
              </w:numPr>
              <w:pBdr>
                <w:top w:val="nil"/>
                <w:left w:val="nil"/>
                <w:bottom w:val="nil"/>
                <w:right w:val="nil"/>
                <w:between w:val="nil"/>
              </w:pBdr>
              <w:tabs>
                <w:tab w:val="left" w:pos="316"/>
              </w:tabs>
              <w:ind w:left="32" w:firstLine="0"/>
              <w:jc w:val="both"/>
              <w:rPr>
                <w:rFonts w:asciiTheme="majorHAnsi" w:eastAsia="Arial" w:hAnsiTheme="majorHAnsi"/>
                <w:b/>
                <w:color w:val="000000"/>
                <w:lang w:val="pt-BR"/>
              </w:rPr>
            </w:pPr>
            <w:r>
              <w:rPr>
                <w:rFonts w:asciiTheme="majorHAnsi" w:eastAsia="Arial" w:hAnsiTheme="majorHAnsi"/>
                <w:b/>
                <w:color w:val="000000"/>
                <w:lang w:val="pt-BR"/>
              </w:rPr>
              <w:t xml:space="preserve">Praticar ato lesivo previsto no art. 5º da Lei nº 12.846, de 1º de agosto de 2013 </w:t>
            </w:r>
          </w:p>
        </w:tc>
        <w:tc>
          <w:tcPr>
            <w:tcW w:w="2527" w:type="pct"/>
            <w:vAlign w:val="center"/>
          </w:tcPr>
          <w:p>
            <w:pPr>
              <w:widowControl/>
              <w:pBdr>
                <w:top w:val="nil"/>
                <w:left w:val="nil"/>
                <w:bottom w:val="nil"/>
                <w:right w:val="nil"/>
                <w:between w:val="nil"/>
              </w:pBdr>
              <w:jc w:val="both"/>
              <w:rPr>
                <w:rFonts w:asciiTheme="majorHAnsi" w:eastAsia="Arial" w:hAnsiTheme="majorHAnsi"/>
                <w:bCs/>
                <w:color w:val="000000"/>
                <w:lang w:val="pt-BR"/>
              </w:rPr>
            </w:pPr>
            <w:r>
              <w:rPr>
                <w:rFonts w:asciiTheme="majorHAnsi" w:eastAsia="Arial" w:hAnsiTheme="majorHAnsi"/>
                <w:bCs/>
                <w:color w:val="000000"/>
                <w:lang w:val="pt-BR"/>
              </w:rPr>
              <w:t xml:space="preserve">Declaração de inidoneidade para licitar ou contratar, pelo período de 3 (três) a 6 (seis) anos. </w:t>
            </w:r>
          </w:p>
        </w:tc>
      </w:tr>
    </w:tbl>
    <w:p>
      <w:pPr>
        <w:jc w:val="both"/>
        <w:rPr>
          <w:rFonts w:asciiTheme="majorHAnsi" w:eastAsia="Arial" w:hAnsiTheme="majorHAnsi"/>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1" w:name="_heading=h.147n2zr" w:colFirst="0" w:colLast="0"/>
      <w:bookmarkEnd w:id="31"/>
      <w:r>
        <w:rPr>
          <w:rFonts w:asciiTheme="majorHAnsi" w:eastAsia="Arial" w:hAnsiTheme="majorHAnsi"/>
          <w:color w:val="000000"/>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Bdr>
          <w:top w:val="nil"/>
          <w:left w:val="nil"/>
          <w:bottom w:val="nil"/>
          <w:right w:val="nil"/>
          <w:between w:val="nil"/>
        </w:pBdr>
        <w:tabs>
          <w:tab w:val="left" w:pos="567"/>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PROCEDIMENTO ADMINISTRATIVO: As sanções serão aplicadas após regular processo administrativo, assegurada a ampla defesa e o contraditório.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Para todo ato inconveniente ou ilícito que tenha indício de causar dano ou prejuízo a Administração Pública ou ao erário deverá inaugurar um procedimento administrativo de apuração dos fatos. Os casos ocorridos durante os procedimentos de contratação serão comunicados oficialmente e formalmente pelo(a) Pregoeiro(a) ou por qualquer outro servidor o qual presencie o cometimento do ato, o qual devem ser reportados à Assessoria Jurídica do Departamento de Gestão de Licitações para a devida apuração.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As penalidades somente deixarão de ser aplicadas mediante comprovação, anexada aos autos, da ocorrência de força maior impeditiva do cumprimento da obrigação e/ou manifestação da unidade requisitante, informando que o ocorrido derivou de fatos imputáveis à Administração.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Na hipótese de abertura de processo administrativo destinado a apuração de fatos e, se for o caso, aplicação de sanções à proponente, em decorrência de conduta vedada neste Pregão, as comunicações à proponente serão efetuadas por meio do endereço de correio eletrônico ("e-mail") declarado ou apresentado nos documentos do processo.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proponente deverá manter atualizado o endereço de correio eletrônico ("e-mail") cadastrado junto ao SICAF e confirmar o recebimento das mensagens provenientes do município de Miraíma/CE, não podendo alegar o desconhecimento do recebimento das comunicações por este meio como justificativa para se eximir das responsabilidades assumidas ou eventuais sanções aplicadas.</w:t>
      </w:r>
    </w:p>
    <w:p>
      <w:pPr>
        <w:pBdr>
          <w:top w:val="nil"/>
          <w:left w:val="nil"/>
          <w:bottom w:val="nil"/>
          <w:right w:val="nil"/>
          <w:between w:val="nil"/>
        </w:pBdr>
        <w:tabs>
          <w:tab w:val="left" w:pos="567"/>
        </w:tabs>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A penalidade resultante da aplicação do item anterior não poderá ser maior do que as penalidades consideradas cumulativamente.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O cometimento reiterado de atrasos injustificados dos prazos previstos para a execução do objeto poderá resultar no cancelamento do registro de preços do Fornecedor.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lastRenderedPageBreak/>
        <w:t xml:space="preserve">Será considerado em estado de reiterado cometimento de atrasos dos prazos o Fornecedor que incorrer no terceiro atraso injustificado, ao longo da vigência da Ata.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A multa, calculada na forma do Anexo I - Termo de Referência, não poderá ser inferior a 0,5% (cinco décimos por cento) nem superior a 30% (trinta por cento) do valor do contrato e será aplicada ao responsável por qualquer das infrações administrativas previstas no art. 155 da Lei n. 14.133/2021.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Se a garantia contratual exigida for prestada por seguradora, essa será notificada da abertura de processo de apuração de responsabilidade do qual possa resultar na aplicação da penalidade de multa ao Fornecedor.</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2" w:name="_heading=h.3o7alnk" w:colFirst="0" w:colLast="0"/>
      <w:bookmarkEnd w:id="32"/>
      <w:r>
        <w:rPr>
          <w:rFonts w:asciiTheme="majorHAnsi" w:eastAsia="Arial" w:hAnsiTheme="majorHAnsi"/>
          <w:color w:val="000000"/>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15 (quinze) dias úteis, a contar da intimação do ato.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aplicação das sanções previstas neste Edital não exclui, em hipótese alguma, a obrigação de reparação integral do dano causado à Administração Pública.</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3" w:name="_heading=h.23ckvvd" w:colFirst="0" w:colLast="0"/>
      <w:bookmarkEnd w:id="33"/>
      <w:r>
        <w:rPr>
          <w:rFonts w:asciiTheme="majorHAnsi" w:eastAsia="Arial" w:hAnsiTheme="majorHAnsi"/>
          <w:color w:val="000000"/>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e especificar as provas que pretenda produzir.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4" w:name="_heading=h.ihv636" w:colFirst="0" w:colLast="0"/>
      <w:bookmarkEnd w:id="34"/>
      <w:r>
        <w:rPr>
          <w:rFonts w:asciiTheme="majorHAnsi" w:eastAsia="Arial" w:hAnsiTheme="majorHAnsi"/>
          <w:color w:val="000000"/>
        </w:rPr>
        <w:t>Na hipótese de deferimento de pedido de produção de novas provas ou de juntada de provas julgadas indispensáveis pela comissão, o licitante ou o Fornecedor poderá apresentar alegações finais no prazo de 15 dias úteis, contado da data da intimação.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Serão indeferidas pela Comissão de PAR, mediante decisão fundamentada, provas ilícitas, impertinentes, desnecessárias, protelatórias ou intempestivas.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A prescrição da pretensão de aplicação das sanções ocorrerá em 5 (cinco) anos, contados da ciência da infração pela Administração, e será interrompida e suspensa na forma da Lei.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5" w:name="_heading=h.32hioqz" w:colFirst="0" w:colLast="0"/>
      <w:bookmarkEnd w:id="35"/>
      <w:r>
        <w:rPr>
          <w:rFonts w:asciiTheme="majorHAnsi" w:eastAsia="Arial" w:hAnsiTheme="majorHAnsi"/>
          <w:color w:val="000000"/>
        </w:rPr>
        <w:t>Excepcionalmente, desde que justificado pelo gestor da ata, no Procedimento Administrativo de Apuração de Responsabilidade - PAAR, o município poderá, ad cautelam, efetuar a retenção do valor da multa presumida, em conformidade com o instrumento convocatório ou Termo de Referência, e instaurar de imediato o procedimento administrativo para apuração de responsabilidade por descumprimento, que deverá ter tramitação prioritária.</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Todas as penalidades serão registradas, para efeito de publicidade, no Sistema de Cadastramento Unificado de Fornecedores (SICAF), no cadastro Consolidado de Pessoa Jurídica do TCU, no Cadastro Nacional de Empresas Inidôneas (CEIS), no Cadastro Nacional de Empresas Punidas (CNEP) e demais sistemas internos, no prazo máximo de 15 dias úteis, contado da data de aplicação da sanção.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bookmarkStart w:id="36" w:name="_heading=h.1hmsyys" w:colFirst="0" w:colLast="0"/>
      <w:bookmarkEnd w:id="36"/>
      <w:r>
        <w:rPr>
          <w:rFonts w:asciiTheme="majorHAnsi" w:eastAsia="Arial" w:hAnsiTheme="majorHAnsi"/>
          <w:color w:val="000000"/>
        </w:rPr>
        <w:t xml:space="preserve">No caso de provimento do recurso ou de reconsideração da decisão, os autos serão remetidos à Secretaria de Finanças para devolução ao fornecedor dos valores eventualmente retidos. </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w:t>
      </w:r>
      <w:r>
        <w:rPr>
          <w:rFonts w:asciiTheme="majorHAnsi" w:eastAsia="Arial" w:hAnsiTheme="majorHAnsi"/>
          <w:color w:val="000000"/>
        </w:rPr>
        <w:lastRenderedPageBreak/>
        <w:t>não serem avaliados. Caso o fornecimento de cópias de documentos seja requerido ao município, as despesas correspondentes deverão ser ressarcidas previamente, em Documento de Arrecadação Municipal - DAM.</w:t>
      </w:r>
    </w:p>
    <w:p>
      <w:pPr>
        <w:jc w:val="both"/>
        <w:rPr>
          <w:rFonts w:asciiTheme="majorHAnsi" w:eastAsia="Arial" w:hAnsiTheme="majorHAnsi"/>
        </w:rPr>
      </w:pPr>
    </w:p>
    <w:p>
      <w:pPr>
        <w:pStyle w:val="Ttulo1"/>
        <w:numPr>
          <w:ilvl w:val="0"/>
          <w:numId w:val="29"/>
        </w:numPr>
        <w:tabs>
          <w:tab w:val="left" w:pos="426"/>
        </w:tabs>
        <w:ind w:left="0" w:firstLine="0"/>
        <w:rPr>
          <w:rFonts w:asciiTheme="majorHAnsi" w:hAnsiTheme="majorHAnsi" w:cs="Times New Roman"/>
        </w:rPr>
      </w:pPr>
      <w:bookmarkStart w:id="37" w:name="_heading=h.41mghml" w:colFirst="0" w:colLast="0"/>
      <w:bookmarkEnd w:id="37"/>
      <w:r>
        <w:rPr>
          <w:rFonts w:asciiTheme="majorHAnsi" w:hAnsiTheme="majorHAnsi" w:cs="Times New Roman"/>
        </w:rPr>
        <w:t xml:space="preserve">FRAUDE E CORRUPÇÃO </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jc w:val="both"/>
        <w:rPr>
          <w:rFonts w:asciiTheme="majorHAnsi" w:eastAsia="Arial" w:hAnsiTheme="majorHAnsi"/>
        </w:rPr>
      </w:pPr>
      <w:r>
        <w:rPr>
          <w:rFonts w:asciiTheme="majorHAnsi" w:eastAsia="Arial" w:hAnsiTheme="majorHAnsi"/>
        </w:rPr>
        <w:t>a) “prática corrupta”: oferecer, dar, receber ou solicitar, direta ou indiretamente, qualquer vantagem com o objetivo de influenciar a ação de servidor público no processo de licitação ou na execução de contrato;</w:t>
      </w:r>
    </w:p>
    <w:p>
      <w:pPr>
        <w:jc w:val="both"/>
        <w:rPr>
          <w:rFonts w:asciiTheme="majorHAnsi" w:eastAsia="Arial" w:hAnsiTheme="majorHAnsi"/>
        </w:rPr>
      </w:pPr>
      <w:r>
        <w:rPr>
          <w:rFonts w:asciiTheme="majorHAnsi" w:eastAsia="Arial" w:hAnsiTheme="majorHAnsi"/>
        </w:rPr>
        <w:t>b) “prática fraudulenta”: a falsificação ou omissão dos fatos, com o objetivo de influenciar o processo de licitação ou de execução de contrato;</w:t>
      </w:r>
    </w:p>
    <w:p>
      <w:pPr>
        <w:jc w:val="both"/>
        <w:rPr>
          <w:rFonts w:asciiTheme="majorHAnsi" w:eastAsia="Arial" w:hAnsiTheme="majorHAnsi"/>
        </w:rPr>
      </w:pPr>
      <w:r>
        <w:rPr>
          <w:rFonts w:asciiTheme="majorHAnsi" w:eastAsia="Arial" w:hAnsiTheme="majorHAnsi"/>
        </w:rPr>
        <w:t>c) “prática conluiada”: esquematizar ou estabelecer um acordo entre duas ou mais proponentes, com ou sem o conhecimento de representantes ou prepostos do órgão licitador, visando estabelecer preços em níveis artificiais e não-competitivos;</w:t>
      </w:r>
    </w:p>
    <w:p>
      <w:pPr>
        <w:jc w:val="both"/>
        <w:rPr>
          <w:rFonts w:asciiTheme="majorHAnsi" w:eastAsia="Arial" w:hAnsiTheme="majorHAnsi"/>
        </w:rPr>
      </w:pPr>
      <w:r>
        <w:rPr>
          <w:rFonts w:asciiTheme="majorHAnsi" w:eastAsia="Arial" w:hAnsiTheme="majorHAnsi"/>
        </w:rPr>
        <w:t>d) “prática coercitiva”: causar dano ou ameaçar causar dano, direta ou indiretamente, às pessoas ou sua propriedade, visando a influenciar sua participação em um processo licitatório ou afetar a execução do contrato.</w:t>
      </w:r>
    </w:p>
    <w:p>
      <w:pPr>
        <w:jc w:val="both"/>
        <w:rPr>
          <w:rFonts w:asciiTheme="majorHAnsi" w:eastAsia="Arial" w:hAnsiTheme="majorHAnsi"/>
        </w:rPr>
      </w:pPr>
      <w:r>
        <w:rPr>
          <w:rFonts w:asciiTheme="majorHAnsi" w:eastAsia="Arial" w:hAnsiTheme="majorHAnsi"/>
        </w:rPr>
        <w:t>e) “prática obstrutiva”:</w:t>
      </w:r>
    </w:p>
    <w:p>
      <w:pPr>
        <w:jc w:val="both"/>
        <w:rPr>
          <w:rFonts w:asciiTheme="majorHAnsi" w:eastAsia="Arial" w:hAnsiTheme="majorHAnsi"/>
        </w:rPr>
      </w:pPr>
      <w:r>
        <w:rPr>
          <w:rFonts w:asciiTheme="majorHAnsi" w:eastAsia="Arial" w:hAnsiTheme="majorHAnsi"/>
        </w:rPr>
        <w:t>(1) destruir, falsificar, alterar ou ocultar provas em inspeções ou fazer declarações falsas aos representantes do organismo financeiro multilateral, com o objetivo de impedir materialmente a apuração de alegações de prática prevista neste subitem;</w:t>
      </w:r>
    </w:p>
    <w:p>
      <w:pPr>
        <w:jc w:val="both"/>
        <w:rPr>
          <w:rFonts w:asciiTheme="majorHAnsi" w:eastAsia="Arial" w:hAnsiTheme="majorHAnsi"/>
        </w:rPr>
      </w:pPr>
      <w:r>
        <w:rPr>
          <w:rFonts w:asciiTheme="majorHAnsi" w:eastAsia="Arial" w:hAnsiTheme="majorHAnsi"/>
        </w:rPr>
        <w:t>(2) atos cuja intenção seja impedir materialmente o exercício do direito de o organismo financeiro multilateral promover inspeção.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jc w:val="both"/>
        <w:rPr>
          <w:rFonts w:asciiTheme="majorHAnsi" w:eastAsia="Arial" w:hAnsiTheme="majorHAnsi"/>
        </w:rPr>
      </w:pPr>
    </w:p>
    <w:p>
      <w:pPr>
        <w:pStyle w:val="Ttulo1"/>
        <w:numPr>
          <w:ilvl w:val="0"/>
          <w:numId w:val="29"/>
        </w:numPr>
        <w:tabs>
          <w:tab w:val="left" w:pos="426"/>
        </w:tabs>
        <w:ind w:left="0" w:firstLine="0"/>
        <w:rPr>
          <w:rFonts w:asciiTheme="majorHAnsi" w:hAnsiTheme="majorHAnsi" w:cs="Times New Roman"/>
        </w:rPr>
      </w:pPr>
      <w:bookmarkStart w:id="38" w:name="_heading=h.2grqrue" w:colFirst="0" w:colLast="0"/>
      <w:bookmarkEnd w:id="38"/>
      <w:r>
        <w:rPr>
          <w:rFonts w:asciiTheme="majorHAnsi" w:hAnsiTheme="majorHAnsi" w:cs="Times New Roman"/>
        </w:rPr>
        <w:t xml:space="preserve">DOS ESCLARECIMENTOS, IMPUGNAÇÕES, DILIGÊNCIAS, REVOGAÇÃO E ANULAÇÃO </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ind w:left="-1134"/>
        <w:rPr>
          <w:rFonts w:asciiTheme="majorHAnsi" w:eastAsia="Arial" w:hAnsiTheme="majorHAnsi"/>
        </w:rPr>
      </w:pPr>
    </w:p>
    <w:p>
      <w:pPr>
        <w:shd w:val="clear" w:color="auto" w:fill="F2F2F2"/>
        <w:jc w:val="center"/>
        <w:rPr>
          <w:rFonts w:asciiTheme="majorHAnsi" w:eastAsia="Arial" w:hAnsiTheme="majorHAnsi"/>
          <w:b/>
          <w:u w:val="single"/>
        </w:rPr>
      </w:pPr>
      <w:r>
        <w:rPr>
          <w:rFonts w:asciiTheme="majorHAnsi" w:eastAsia="Arial" w:hAnsiTheme="majorHAnsi"/>
          <w:b/>
          <w:u w:val="single"/>
        </w:rPr>
        <w:t>DAS SOLICITAÇÕES DE ESCLARECIMENTO E IMPUGNAÇÕES</w:t>
      </w:r>
    </w:p>
    <w:p>
      <w:pPr>
        <w:pBdr>
          <w:top w:val="nil"/>
          <w:left w:val="nil"/>
          <w:bottom w:val="nil"/>
          <w:right w:val="nil"/>
          <w:between w:val="nil"/>
        </w:pBdr>
        <w:jc w:val="both"/>
        <w:rPr>
          <w:rFonts w:asciiTheme="majorHAnsi" w:eastAsia="Arial" w:hAnsiTheme="majorHAnsi"/>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Qualquer pessoa física ou jurídica poderá, no prazo de até </w:t>
      </w:r>
      <w:r>
        <w:rPr>
          <w:rFonts w:asciiTheme="majorHAnsi" w:eastAsia="Arial" w:hAnsiTheme="majorHAnsi"/>
          <w:b/>
          <w:color w:val="000000"/>
        </w:rPr>
        <w:t>03 (três) dias úteis</w:t>
      </w:r>
      <w:r>
        <w:rPr>
          <w:rFonts w:asciiTheme="majorHAnsi" w:eastAsia="Arial" w:hAnsiTheme="majorHAnsi"/>
          <w:color w:val="000000"/>
        </w:rPr>
        <w:t xml:space="preserve"> antes da data fixada para recebimento das Propostas de Preços, solicitar esclarecimento e ou impugnar o ato convocatório deste Pregão.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Decairá do direito de impugnar os termos do edital de licitação perante a Administração aquele que não o fizer dentro do prazo fixado neste subitem, hipótese em que tal comunicação não terá efeito de recurso.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Impugnação feita tempestivamente pelo proponente não o impedirá de participar do processo licitatório até o trânsito em julgado da decisão a ela pertinente.</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 xml:space="preserve">Somente serão aceitas solicitações de esclarecimentos, providências ou impugnações mediante petição confeccionada em máquina datilográfica ou impressora eletrônica, em tinta não lavável, bem como, da apresentação de documentos comprobatórios a demandante, desde que </w:t>
      </w:r>
      <w:r>
        <w:rPr>
          <w:rFonts w:asciiTheme="majorHAnsi" w:eastAsia="Arial" w:hAnsiTheme="majorHAnsi"/>
          <w:color w:val="000000"/>
        </w:rPr>
        <w:lastRenderedPageBreak/>
        <w:t>devidamente protocolados via e-mail, informado no quadro de resumo deste edital, que preencham os seguintes requisitos: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endereçamento o(a) Pregoeiro(a) da Prefeitura de Miraíma/CE;</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fato e o fundamento jurídico de seu pedido, indicando quais os itens ou subitens discutidos;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pedido, com suas especificações;</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 proponente deverá juntar cópia do ato constitutivo, bem como, documento de identificação (com foto) válido na forma da Lei do responsável legal pela mesma e, ainda, deverá apresentar prova de mandato, se for o caso.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O Pregoeiro poderá requisitar subsídios formais aos responsáveis pela elaboração do edital de licitação e dos anexos.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 xml:space="preserve">Caberá o(a) Pregoeiro(a) decidir e divulgar em sítio eletrônico oficial no prazo de até </w:t>
      </w:r>
      <w:r>
        <w:rPr>
          <w:rFonts w:asciiTheme="majorHAnsi" w:eastAsia="Arial" w:hAnsiTheme="majorHAnsi"/>
          <w:b/>
          <w:color w:val="000000"/>
        </w:rPr>
        <w:t>3 (três) dias úteis</w:t>
      </w:r>
      <w:r>
        <w:rPr>
          <w:rFonts w:asciiTheme="majorHAnsi" w:eastAsia="Arial" w:hAnsiTheme="majorHAnsi"/>
          <w:color w:val="000000"/>
        </w:rPr>
        <w:t>, limitado ao último dia útil anterior à data da abertura do certame.</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 resposta do Município de Miraíma/CE será disponibilizada a todos os interessados mediante afixação de cópia da íntegra do ato proferido pela Administração no sítio virtual:  https://municipios-licitacoes.tce.ce.gov.br/.</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 aditamento prevalecerá sempre em relação ao que for aditado.</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Qualquer modificação neste edital será divulgada pela mesma forma que se deu ao texto original.</w:t>
      </w:r>
    </w:p>
    <w:p>
      <w:pPr>
        <w:jc w:val="both"/>
        <w:rPr>
          <w:rFonts w:asciiTheme="majorHAnsi" w:eastAsia="Arial" w:hAnsiTheme="majorHAnsi"/>
        </w:rPr>
      </w:pPr>
    </w:p>
    <w:p>
      <w:pPr>
        <w:widowControl w:val="0"/>
        <w:pBdr>
          <w:top w:val="nil"/>
          <w:left w:val="nil"/>
          <w:bottom w:val="nil"/>
          <w:right w:val="nil"/>
          <w:between w:val="nil"/>
        </w:pBdr>
        <w:shd w:val="clear" w:color="auto" w:fill="F2F2F2"/>
        <w:jc w:val="center"/>
        <w:rPr>
          <w:rFonts w:asciiTheme="majorHAnsi" w:eastAsia="Arial" w:hAnsiTheme="majorHAnsi"/>
          <w:b/>
          <w:color w:val="000000"/>
          <w:u w:val="single"/>
        </w:rPr>
      </w:pPr>
      <w:r>
        <w:rPr>
          <w:rFonts w:asciiTheme="majorHAnsi" w:eastAsia="Arial" w:hAnsiTheme="majorHAnsi"/>
          <w:b/>
          <w:color w:val="000000"/>
          <w:u w:val="single"/>
        </w:rPr>
        <w:t>DILIGÊNCIA, REVOGAÇÃO E ANULAÇÃO</w:t>
      </w:r>
    </w:p>
    <w:p>
      <w:pPr>
        <w:widowControl w:val="0"/>
        <w:pBdr>
          <w:top w:val="nil"/>
          <w:left w:val="nil"/>
          <w:bottom w:val="nil"/>
          <w:right w:val="nil"/>
          <w:between w:val="nil"/>
        </w:pBdr>
        <w:jc w:val="both"/>
        <w:rPr>
          <w:rFonts w:asciiTheme="majorHAnsi" w:eastAsia="Arial" w:hAnsiTheme="majorHAnsi"/>
          <w:b/>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b/>
          <w:color w:val="000000"/>
        </w:rPr>
        <w:t>DILIGÊNCIA:</w:t>
      </w:r>
      <w:r>
        <w:rPr>
          <w:rFonts w:asciiTheme="majorHAnsi" w:eastAsia="Arial" w:hAnsiTheme="majorHAnsi"/>
          <w:color w:val="000000"/>
        </w:rPr>
        <w:t xml:space="preserve"> Em qualquer fase do procedimento licitatório, o(a) Pregoeiro(a)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numPr>
          <w:ilvl w:val="2"/>
          <w:numId w:val="29"/>
        </w:numPr>
        <w:pBdr>
          <w:top w:val="nil"/>
          <w:left w:val="nil"/>
          <w:bottom w:val="nil"/>
          <w:right w:val="nil"/>
          <w:between w:val="nil"/>
        </w:pBdr>
        <w:ind w:left="0" w:firstLine="0"/>
        <w:jc w:val="both"/>
        <w:rPr>
          <w:rFonts w:asciiTheme="majorHAnsi" w:eastAsia="Arial" w:hAnsiTheme="majorHAnsi"/>
          <w:color w:val="000000"/>
        </w:rPr>
      </w:pPr>
      <w:r>
        <w:rPr>
          <w:rFonts w:asciiTheme="majorHAnsi" w:eastAsia="Arial" w:hAnsiTheme="majorHAnsi"/>
          <w:color w:val="000000"/>
        </w:rPr>
        <w:t>Os proponentes notificados para prestar quaisquer esclarecimentos adicionais deverão fazê-lo no prazo determinado pelo(a) Pregoeiro(a), sob pena de desclassificação/inabilitação.</w:t>
      </w:r>
    </w:p>
    <w:p>
      <w:pPr>
        <w:widowControl w:val="0"/>
        <w:pBdr>
          <w:top w:val="nil"/>
          <w:left w:val="nil"/>
          <w:bottom w:val="nil"/>
          <w:right w:val="nil"/>
          <w:between w:val="nil"/>
        </w:pBdr>
        <w:jc w:val="both"/>
        <w:rPr>
          <w:rFonts w:asciiTheme="majorHAnsi" w:eastAsia="Arial" w:hAnsiTheme="majorHAnsi"/>
          <w:b/>
          <w:color w:val="000000"/>
        </w:rPr>
      </w:pP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b/>
          <w:color w:val="000000"/>
        </w:rPr>
        <w:t>REVOGAÇÃO E ANULAÇÃO:</w:t>
      </w:r>
      <w:r>
        <w:rPr>
          <w:rFonts w:asciiTheme="majorHAnsi" w:eastAsia="Arial" w:hAnsiTheme="majorHAnsi"/>
          <w:color w:val="000000"/>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jc w:val="right"/>
        <w:rPr>
          <w:rFonts w:asciiTheme="majorHAnsi" w:eastAsia="Arial" w:hAnsiTheme="majorHAnsi"/>
          <w:b/>
        </w:rPr>
      </w:pPr>
    </w:p>
    <w:p>
      <w:pPr>
        <w:pStyle w:val="Ttulo1"/>
        <w:numPr>
          <w:ilvl w:val="0"/>
          <w:numId w:val="29"/>
        </w:numPr>
        <w:tabs>
          <w:tab w:val="left" w:pos="426"/>
        </w:tabs>
        <w:ind w:left="0" w:firstLine="0"/>
        <w:rPr>
          <w:rFonts w:asciiTheme="majorHAnsi" w:hAnsiTheme="majorHAnsi" w:cs="Times New Roman"/>
        </w:rPr>
      </w:pPr>
      <w:bookmarkStart w:id="39" w:name="_heading=h.vx1227" w:colFirst="0" w:colLast="0"/>
      <w:bookmarkEnd w:id="39"/>
      <w:r>
        <w:rPr>
          <w:rFonts w:asciiTheme="majorHAnsi" w:hAnsiTheme="majorHAnsi" w:cs="Times New Roman"/>
        </w:rPr>
        <w:t xml:space="preserve">DISPOSIÇÕES GERAIS </w:t>
      </w:r>
    </w:p>
    <w:p>
      <w:pPr>
        <w:ind w:lef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As normas que disciplinam este Pregão Eletrônico serão sempre interpretadas em favor da ampliação da disputa entre os interessados, atendidos o interesse público, sem comprometimento da segurança e do regular funcionamento da administração.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lastRenderedPageBreak/>
        <w:t>Os casos omissos poderão ser resolvidos pelo(a) Pregoeiro(a) durante a sessão e pela(s) autoridade(s) competente(s), em outros casos, mediante aplicação dos Regulamentos Municipais que tratam de Licitações e Contratos e da Lei n.º 14.133/2021 de 1º de abril de 2021.</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Nenhuma indenização será devida às proponentes pela elaboração ou pela apresentação de documentação referente ao presente edital, nem em relação às expectativas de contratações dela decorrentes.</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Os avisos de prosseguimento das sessões, a decisão sobre os recursos interpostos, a Anulação ou revogação serão feitos aos interessados mediante publicação no quadro de avisos da Prefeitura Municipal de Miraíma/CE, conforme disposto na Lei Orgânica do Município e no “chat” do www.compras.gov.br.</w:t>
      </w:r>
    </w:p>
    <w:p>
      <w:pPr>
        <w:pStyle w:val="PargrafodaLista"/>
        <w:numPr>
          <w:ilvl w:val="1"/>
          <w:numId w:val="29"/>
        </w:numPr>
        <w:ind w:left="0" w:firstLine="0"/>
        <w:jc w:val="both"/>
        <w:rPr>
          <w:rFonts w:asciiTheme="majorHAnsi" w:eastAsia="Arial" w:hAnsiTheme="majorHAnsi"/>
          <w:color w:val="000000"/>
          <w:sz w:val="22"/>
          <w:szCs w:val="22"/>
          <w:lang w:eastAsia="pt-BR"/>
        </w:rPr>
      </w:pPr>
      <w:r>
        <w:rPr>
          <w:rFonts w:asciiTheme="majorHAnsi" w:eastAsia="Arial" w:hAnsiTheme="majorHAnsi"/>
          <w:color w:val="000000"/>
          <w:sz w:val="22"/>
          <w:szCs w:val="22"/>
          <w:lang w:eastAsia="pt-BR"/>
        </w:rPr>
        <w:t>O Edital e seus anexos estão disponíveis, na íntegra, no Portal Nacional de Contratações Públicas (PNCP), no site da Prefeitura Municipal de Miraíma - CE: https://www.miraima.ce.gov.br, no site do TCE/CE: https://licitacoes.tce.ce.gov.br e no portal gov.br - https://www.gov.br/compras/pt-br/.</w:t>
      </w:r>
    </w:p>
    <w:p>
      <w:pPr>
        <w:numPr>
          <w:ilvl w:val="1"/>
          <w:numId w:val="29"/>
        </w:numPr>
        <w:pBdr>
          <w:top w:val="nil"/>
          <w:left w:val="nil"/>
          <w:bottom w:val="nil"/>
          <w:right w:val="nil"/>
          <w:between w:val="nil"/>
        </w:pBdr>
        <w:tabs>
          <w:tab w:val="left" w:pos="567"/>
        </w:tabs>
        <w:ind w:left="0" w:firstLine="0"/>
        <w:jc w:val="both"/>
        <w:rPr>
          <w:rFonts w:asciiTheme="majorHAnsi" w:eastAsia="Arial" w:hAnsiTheme="majorHAnsi"/>
          <w:color w:val="000000"/>
        </w:rPr>
      </w:pPr>
      <w:r>
        <w:rPr>
          <w:rFonts w:asciiTheme="majorHAnsi" w:eastAsia="Arial" w:hAnsiTheme="majorHAnsi"/>
          <w:color w:val="000000"/>
        </w:rPr>
        <w:t>Para dirimir, na esfera judicial, as questões oriundas do presente edital será competente o Foro da Comarca de Miraíma - CE.</w:t>
      </w:r>
    </w:p>
    <w:p>
      <w:pPr>
        <w:jc w:val="center"/>
        <w:rPr>
          <w:rFonts w:asciiTheme="majorHAnsi" w:eastAsia="Arial" w:hAnsiTheme="majorHAnsi"/>
        </w:rPr>
      </w:pPr>
    </w:p>
    <w:p>
      <w:pPr>
        <w:jc w:val="center"/>
        <w:rPr>
          <w:rFonts w:asciiTheme="majorHAnsi" w:eastAsia="Arial" w:hAnsiTheme="majorHAnsi"/>
        </w:rPr>
      </w:pPr>
      <w:r>
        <w:rPr>
          <w:rFonts w:asciiTheme="majorHAnsi" w:eastAsia="Arial" w:hAnsiTheme="majorHAnsi"/>
        </w:rPr>
        <w:t>Miraíma/CE, 09 de Julho de 2025.</w:t>
      </w: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b/>
        </w:rPr>
      </w:pPr>
      <w:r>
        <w:rPr>
          <w:rFonts w:asciiTheme="majorHAnsi" w:eastAsia="Arial" w:hAnsiTheme="majorHAnsi"/>
          <w:b/>
        </w:rPr>
        <w:t>ANTÔNIO ROBSON ALVES DOS SANTOS</w:t>
      </w:r>
    </w:p>
    <w:p>
      <w:pPr>
        <w:jc w:val="center"/>
        <w:rPr>
          <w:rFonts w:asciiTheme="majorHAnsi" w:eastAsia="Arial" w:hAnsiTheme="majorHAnsi"/>
        </w:rPr>
      </w:pPr>
      <w:r>
        <w:rPr>
          <w:rFonts w:asciiTheme="majorHAnsi" w:eastAsia="Arial" w:hAnsiTheme="majorHAnsi"/>
        </w:rPr>
        <w:t>Agente de Contratação</w:t>
      </w: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rPr>
      </w:pPr>
    </w:p>
    <w:p>
      <w:pPr>
        <w:jc w:val="center"/>
        <w:rPr>
          <w:rFonts w:asciiTheme="majorHAnsi" w:eastAsia="Arial" w:hAnsiTheme="majorHAnsi"/>
          <w:b/>
        </w:rPr>
      </w:pPr>
    </w:p>
    <w:p>
      <w:pPr>
        <w:pStyle w:val="Ttulo1"/>
        <w:numPr>
          <w:ilvl w:val="0"/>
          <w:numId w:val="0"/>
        </w:numPr>
        <w:shd w:val="clear" w:color="auto" w:fill="F2F2F2"/>
        <w:jc w:val="center"/>
        <w:rPr>
          <w:rFonts w:asciiTheme="majorHAnsi" w:hAnsiTheme="majorHAnsi" w:cs="Times New Roman"/>
        </w:rPr>
      </w:pPr>
      <w:r>
        <w:rPr>
          <w:rFonts w:asciiTheme="majorHAnsi" w:hAnsiTheme="majorHAnsi" w:cs="Times New Roman"/>
        </w:rPr>
        <w:t>ANEXO I - TERMO DE REFERÊNCIA E SEUS ANEXOS</w:t>
      </w:r>
    </w:p>
    <w:p>
      <w:pPr>
        <w:tabs>
          <w:tab w:val="left" w:pos="284"/>
          <w:tab w:val="left" w:pos="2525"/>
          <w:tab w:val="center" w:pos="4873"/>
        </w:tabs>
        <w:jc w:val="center"/>
        <w:rPr>
          <w:rFonts w:ascii="Cambria" w:hAnsi="Cambria"/>
          <w:b/>
          <w:sz w:val="24"/>
          <w:szCs w:val="24"/>
        </w:rPr>
      </w:pPr>
      <w:r>
        <w:rPr>
          <w:rFonts w:ascii="Cambria" w:hAnsi="Cambria"/>
          <w:b/>
          <w:sz w:val="24"/>
          <w:szCs w:val="24"/>
        </w:rPr>
        <w:t>TERMO DE REFERÊNCIA</w:t>
      </w:r>
    </w:p>
    <w:p>
      <w:pPr>
        <w:tabs>
          <w:tab w:val="left" w:pos="284"/>
          <w:tab w:val="left" w:pos="2525"/>
          <w:tab w:val="center" w:pos="4873"/>
        </w:tabs>
        <w:jc w:val="right"/>
        <w:rPr>
          <w:rFonts w:ascii="Cambria" w:hAnsi="Cambria"/>
          <w:b/>
          <w:sz w:val="24"/>
          <w:szCs w:val="24"/>
        </w:rPr>
      </w:pPr>
    </w:p>
    <w:p>
      <w:pPr>
        <w:tabs>
          <w:tab w:val="left" w:pos="284"/>
          <w:tab w:val="left" w:pos="2525"/>
          <w:tab w:val="center" w:pos="4873"/>
        </w:tabs>
        <w:jc w:val="right"/>
        <w:rPr>
          <w:rFonts w:ascii="Cambria" w:hAnsi="Cambria"/>
          <w:b/>
          <w:sz w:val="24"/>
          <w:szCs w:val="24"/>
        </w:rPr>
      </w:pPr>
      <w:r>
        <w:rPr>
          <w:rFonts w:ascii="Cambria" w:hAnsi="Cambria"/>
          <w:b/>
          <w:sz w:val="24"/>
          <w:szCs w:val="24"/>
        </w:rPr>
        <w:t>Nº 2025.05.28.01-TR</w:t>
      </w:r>
    </w:p>
    <w:p>
      <w:pPr>
        <w:tabs>
          <w:tab w:val="left" w:pos="284"/>
          <w:tab w:val="left" w:pos="2525"/>
          <w:tab w:val="center" w:pos="4873"/>
        </w:tabs>
        <w:jc w:val="right"/>
        <w:rPr>
          <w:rFonts w:ascii="Cambria" w:hAnsi="Cambria"/>
          <w:b/>
          <w:sz w:val="24"/>
          <w:szCs w:val="24"/>
        </w:rPr>
      </w:pPr>
    </w:p>
    <w:p>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jc w:val="both"/>
        <w:rPr>
          <w:rFonts w:ascii="Cambria" w:hAnsi="Cambria"/>
          <w:b/>
          <w:sz w:val="24"/>
          <w:szCs w:val="24"/>
        </w:rPr>
      </w:pPr>
      <w:r>
        <w:rPr>
          <w:rFonts w:ascii="Cambria" w:hAnsi="Cambria"/>
          <w:b/>
          <w:sz w:val="24"/>
          <w:szCs w:val="24"/>
        </w:rPr>
        <w:t>1. INTRODUÇÃO</w:t>
      </w:r>
    </w:p>
    <w:p>
      <w:pPr>
        <w:tabs>
          <w:tab w:val="left" w:pos="284"/>
          <w:tab w:val="left" w:pos="2525"/>
          <w:tab w:val="center" w:pos="4873"/>
        </w:tabs>
        <w:jc w:val="both"/>
        <w:rPr>
          <w:rFonts w:ascii="Cambria" w:hAnsi="Cambria"/>
          <w:b/>
          <w:sz w:val="24"/>
          <w:szCs w:val="24"/>
        </w:rPr>
      </w:pPr>
      <w:r>
        <w:rPr>
          <w:rFonts w:ascii="Cambria" w:hAnsi="Cambria"/>
          <w:b/>
          <w:sz w:val="24"/>
          <w:szCs w:val="24"/>
        </w:rPr>
        <w:t xml:space="preserve">1.1. Objetivo </w:t>
      </w:r>
    </w:p>
    <w:p>
      <w:pPr>
        <w:tabs>
          <w:tab w:val="left" w:pos="284"/>
          <w:tab w:val="left" w:pos="2525"/>
          <w:tab w:val="center" w:pos="4873"/>
        </w:tabs>
        <w:jc w:val="both"/>
        <w:rPr>
          <w:rFonts w:ascii="Cambria" w:hAnsi="Cambria"/>
          <w:bCs/>
          <w:sz w:val="24"/>
          <w:szCs w:val="24"/>
        </w:rPr>
      </w:pPr>
      <w:r>
        <w:rPr>
          <w:rFonts w:ascii="Cambria" w:hAnsi="Cambria"/>
          <w:bCs/>
          <w:sz w:val="24"/>
          <w:szCs w:val="24"/>
        </w:rPr>
        <w:t>Este Termo de Referência tem por finalidade fornecer elementos necessários e suficientes, os quais, baseados nos dados constantes dos estudos técnicos preliminares acostados aos autos, servirão para realização de procedimento administrativo, cujas especificações técnicas e demais condições encontram-se detalhados no presente documento, conforme disposto nos arts. 6º, incs. X, XIII e XXIII, 18, 23, 40, 41 e 82, da Lei nº 14.133/2021.</w:t>
      </w:r>
    </w:p>
    <w:p>
      <w:pPr>
        <w:tabs>
          <w:tab w:val="left" w:pos="284"/>
          <w:tab w:val="left" w:pos="2525"/>
          <w:tab w:val="center" w:pos="4873"/>
        </w:tabs>
        <w:jc w:val="both"/>
        <w:rPr>
          <w:rFonts w:ascii="Cambria" w:hAnsi="Cambria"/>
          <w:bCs/>
          <w:sz w:val="24"/>
          <w:szCs w:val="24"/>
        </w:rPr>
      </w:pPr>
      <w:r>
        <w:rPr>
          <w:rFonts w:ascii="Cambria" w:hAnsi="Cambria"/>
          <w:bCs/>
          <w:sz w:val="24"/>
          <w:szCs w:val="24"/>
        </w:rPr>
        <w:t xml:space="preserve">2.2. Integram o presente Termo de Referência como se nele estivessem escritos, os seguintes documentos: </w:t>
      </w:r>
    </w:p>
    <w:p>
      <w:pPr>
        <w:pStyle w:val="PargrafodaLista"/>
        <w:numPr>
          <w:ilvl w:val="0"/>
          <w:numId w:val="32"/>
        </w:numPr>
        <w:tabs>
          <w:tab w:val="left" w:pos="284"/>
          <w:tab w:val="left" w:pos="2525"/>
          <w:tab w:val="center" w:pos="4873"/>
        </w:tabs>
        <w:suppressAutoHyphens w:val="0"/>
        <w:spacing w:after="200" w:line="276" w:lineRule="auto"/>
        <w:jc w:val="both"/>
        <w:rPr>
          <w:rFonts w:ascii="Cambria" w:hAnsi="Cambria"/>
          <w:bCs/>
          <w:sz w:val="24"/>
          <w:szCs w:val="24"/>
        </w:rPr>
      </w:pPr>
      <w:r>
        <w:rPr>
          <w:rFonts w:ascii="Cambria" w:hAnsi="Cambria"/>
          <w:bCs/>
          <w:sz w:val="24"/>
          <w:szCs w:val="24"/>
        </w:rPr>
        <w:t xml:space="preserve">Definição dos Itens e especificações dos produtos; </w:t>
      </w:r>
    </w:p>
    <w:p>
      <w:pPr>
        <w:pStyle w:val="PargrafodaLista"/>
        <w:numPr>
          <w:ilvl w:val="0"/>
          <w:numId w:val="32"/>
        </w:numPr>
        <w:tabs>
          <w:tab w:val="left" w:pos="284"/>
          <w:tab w:val="left" w:pos="2525"/>
          <w:tab w:val="center" w:pos="4873"/>
        </w:tabs>
        <w:suppressAutoHyphens w:val="0"/>
        <w:spacing w:after="200" w:line="276" w:lineRule="auto"/>
        <w:jc w:val="both"/>
        <w:rPr>
          <w:rFonts w:ascii="Cambria" w:hAnsi="Cambria"/>
          <w:bCs/>
          <w:sz w:val="24"/>
          <w:szCs w:val="24"/>
        </w:rPr>
      </w:pPr>
      <w:r>
        <w:rPr>
          <w:rFonts w:ascii="Cambria" w:hAnsi="Cambria"/>
          <w:bCs/>
          <w:sz w:val="24"/>
          <w:szCs w:val="24"/>
        </w:rPr>
        <w:t>Relação dos documentos de habilitação para o procedimento; e</w:t>
      </w:r>
    </w:p>
    <w:p>
      <w:pPr>
        <w:pStyle w:val="PargrafodaLista"/>
        <w:numPr>
          <w:ilvl w:val="0"/>
          <w:numId w:val="32"/>
        </w:numPr>
        <w:tabs>
          <w:tab w:val="left" w:pos="284"/>
          <w:tab w:val="left" w:pos="2525"/>
          <w:tab w:val="center" w:pos="4873"/>
        </w:tabs>
        <w:suppressAutoHyphens w:val="0"/>
        <w:spacing w:after="200" w:line="276" w:lineRule="auto"/>
        <w:jc w:val="both"/>
        <w:rPr>
          <w:rFonts w:ascii="Cambria" w:hAnsi="Cambria"/>
          <w:bCs/>
          <w:sz w:val="24"/>
          <w:szCs w:val="24"/>
        </w:rPr>
      </w:pPr>
      <w:r>
        <w:rPr>
          <w:rFonts w:ascii="Cambria" w:hAnsi="Cambria"/>
          <w:bCs/>
          <w:sz w:val="24"/>
          <w:szCs w:val="24"/>
        </w:rPr>
        <w:t>Estudo Técnico Preliminar – ETP.</w:t>
      </w:r>
    </w:p>
    <w:p>
      <w:pPr>
        <w:pStyle w:val="PargrafodaLista"/>
        <w:tabs>
          <w:tab w:val="left" w:pos="284"/>
          <w:tab w:val="left" w:pos="2525"/>
          <w:tab w:val="center" w:pos="4873"/>
        </w:tabs>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INFORMAÇÕES PRIMÁRIAS, EXPOSIÇÃO DE NECESSIDADE, DETALHAMENTO E PLANEJAMENTO DO OBJETO.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sz w:val="24"/>
          <w:szCs w:val="24"/>
        </w:rPr>
      </w:pPr>
      <w:r>
        <w:rPr>
          <w:rFonts w:ascii="Cambria" w:hAnsi="Cambria"/>
          <w:b/>
          <w:sz w:val="24"/>
          <w:szCs w:val="24"/>
        </w:rPr>
        <w:t>Órgãos:</w:t>
      </w:r>
    </w:p>
    <w:p>
      <w:pPr>
        <w:pStyle w:val="PargrafodaLista"/>
        <w:tabs>
          <w:tab w:val="left" w:pos="426"/>
          <w:tab w:val="left" w:pos="2525"/>
          <w:tab w:val="center" w:pos="4873"/>
        </w:tabs>
        <w:ind w:left="0"/>
        <w:jc w:val="both"/>
        <w:rPr>
          <w:rFonts w:ascii="Cambria" w:hAnsi="Cambria"/>
          <w:sz w:val="24"/>
          <w:szCs w:val="24"/>
        </w:rPr>
      </w:pPr>
      <w:r>
        <w:rPr>
          <w:rFonts w:ascii="Cambria" w:hAnsi="Cambria"/>
          <w:sz w:val="24"/>
          <w:szCs w:val="24"/>
        </w:rPr>
        <w:t>Secretaria Municipal de Saúde</w:t>
      </w:r>
    </w:p>
    <w:p>
      <w:pPr>
        <w:pStyle w:val="PargrafodaLista"/>
        <w:tabs>
          <w:tab w:val="left" w:pos="426"/>
          <w:tab w:val="left" w:pos="2525"/>
          <w:tab w:val="center" w:pos="4873"/>
        </w:tabs>
        <w:ind w:left="0"/>
        <w:jc w:val="both"/>
        <w:rPr>
          <w:rFonts w:ascii="Cambria" w:hAnsi="Cambria"/>
          <w:sz w:val="24"/>
          <w:szCs w:val="24"/>
        </w:rPr>
      </w:pPr>
      <w:r>
        <w:rPr>
          <w:rFonts w:ascii="Cambria" w:hAnsi="Cambria"/>
          <w:sz w:val="24"/>
          <w:szCs w:val="24"/>
        </w:rPr>
        <w:t>Secretaria Municipal do Trabalho e Assistência Social</w:t>
      </w:r>
    </w:p>
    <w:p>
      <w:pPr>
        <w:pStyle w:val="PargrafodaLista"/>
        <w:tabs>
          <w:tab w:val="left" w:pos="426"/>
          <w:tab w:val="left" w:pos="2525"/>
          <w:tab w:val="center" w:pos="4873"/>
        </w:tabs>
        <w:ind w:left="0"/>
        <w:jc w:val="both"/>
        <w:rPr>
          <w:rFonts w:ascii="Cambria" w:hAnsi="Cambria"/>
          <w:sz w:val="24"/>
          <w:szCs w:val="24"/>
        </w:rPr>
      </w:pPr>
      <w:r>
        <w:rPr>
          <w:rFonts w:ascii="Cambria" w:hAnsi="Cambria"/>
          <w:sz w:val="24"/>
          <w:szCs w:val="24"/>
        </w:rPr>
        <w:t>Secretaria de Agricultura e Meio Ambiente.</w:t>
      </w:r>
    </w:p>
    <w:p>
      <w:pPr>
        <w:pStyle w:val="PargrafodaLista"/>
        <w:tabs>
          <w:tab w:val="left" w:pos="426"/>
          <w:tab w:val="left" w:pos="2525"/>
          <w:tab w:val="center" w:pos="4873"/>
        </w:tabs>
        <w:ind w:left="0"/>
        <w:jc w:val="both"/>
        <w:rPr>
          <w:rFonts w:ascii="Cambria" w:hAnsi="Cambria"/>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Objeto: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sz w:val="24"/>
          <w:szCs w:val="24"/>
        </w:rPr>
        <w:t>AQUISIÇÃO DE VEÍCULOS (ZERO QUILÔMETRO), DESTINADOS AO ATENDIMENTO DAS NECESSIDADES DAS DIVERSAS SECRETARIAS DO MUNICÍPIO DE MIRAÍMA/CE.</w:t>
      </w:r>
    </w:p>
    <w:p>
      <w:pPr>
        <w:pStyle w:val="PargrafodaLista"/>
        <w:tabs>
          <w:tab w:val="left" w:pos="426"/>
          <w:tab w:val="left" w:pos="2525"/>
          <w:tab w:val="center" w:pos="4873"/>
        </w:tabs>
        <w:ind w:left="0"/>
        <w:jc w:val="both"/>
        <w:rPr>
          <w:rFonts w:ascii="Cambria" w:hAnsi="Cambria"/>
          <w:b/>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Justificativa:</w:t>
      </w:r>
    </w:p>
    <w:p>
      <w:pPr>
        <w:tabs>
          <w:tab w:val="left" w:pos="284"/>
          <w:tab w:val="left" w:pos="2525"/>
          <w:tab w:val="center" w:pos="4873"/>
        </w:tabs>
        <w:jc w:val="both"/>
        <w:rPr>
          <w:rFonts w:ascii="Cambria" w:hAnsi="Cambria"/>
          <w:sz w:val="24"/>
          <w:szCs w:val="24"/>
        </w:rPr>
      </w:pPr>
      <w:r>
        <w:rPr>
          <w:rFonts w:ascii="Cambria" w:hAnsi="Cambria"/>
          <w:sz w:val="24"/>
          <w:szCs w:val="24"/>
        </w:rPr>
        <w:t>A justificativa da necessidade do objeto e de seus quantitativos encontra-se pormenorizada em tópico específico constante dos Estudos Técnicos Preliminares - ETP, anexo ao presente documento.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Do Plano de Contratação Anual - PCA:</w:t>
      </w:r>
    </w:p>
    <w:p>
      <w:pPr>
        <w:pStyle w:val="PargrafodaLista"/>
        <w:ind w:left="0"/>
        <w:jc w:val="both"/>
        <w:rPr>
          <w:rFonts w:ascii="Cambria" w:hAnsi="Cambria"/>
          <w:sz w:val="24"/>
          <w:szCs w:val="24"/>
        </w:rPr>
      </w:pPr>
      <w:r>
        <w:rPr>
          <w:rFonts w:ascii="Cambria" w:hAnsi="Cambria"/>
          <w:sz w:val="24"/>
          <w:szCs w:val="24"/>
        </w:rPr>
        <w:t>A contratação anual prevê a aquisição veículos, garantindo transparência e legalidade nos processos administrativos, conforme a Lei N° 14.133/21, estando previsto no ID 205, 206 e 360 oriundos do Plano de Contratações Anual (PCA) do exercício de 2025 da Prefeitura Municipal de Miraíma/CE de n.º 10517563000105-0-000001/2025.</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bookmarkStart w:id="40" w:name="_Hlk136867496"/>
      <w:r>
        <w:rPr>
          <w:rFonts w:ascii="Cambria" w:hAnsi="Cambria"/>
          <w:b/>
          <w:sz w:val="24"/>
          <w:szCs w:val="24"/>
        </w:rPr>
        <w:t xml:space="preserve">Descrição da solução como um todo </w:t>
      </w:r>
      <w:bookmarkEnd w:id="40"/>
      <w:r>
        <w:rPr>
          <w:rFonts w:ascii="Cambria" w:hAnsi="Cambria"/>
          <w:b/>
          <w:sz w:val="24"/>
          <w:szCs w:val="24"/>
        </w:rPr>
        <w:t>considerado o ciclo de vida do objeto e especificação do produto:</w:t>
      </w:r>
    </w:p>
    <w:p>
      <w:pPr>
        <w:tabs>
          <w:tab w:val="left" w:pos="284"/>
          <w:tab w:val="left" w:pos="2525"/>
          <w:tab w:val="center" w:pos="4873"/>
        </w:tabs>
        <w:jc w:val="both"/>
        <w:rPr>
          <w:rFonts w:ascii="Cambria" w:hAnsi="Cambria"/>
          <w:b/>
          <w:sz w:val="24"/>
          <w:szCs w:val="24"/>
        </w:rPr>
      </w:pPr>
      <w:r>
        <w:rPr>
          <w:rFonts w:ascii="Cambria" w:hAnsi="Cambria"/>
          <w:sz w:val="24"/>
          <w:szCs w:val="24"/>
        </w:rPr>
        <w:lastRenderedPageBreak/>
        <w:t>A descrição da solução como um todo encontra-se pormenorizada em tópico específico constante dos Estudos Técnicos Preliminares - ETP, anexo ao presente procedimento administrativo.</w:t>
      </w: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DA CLASSIFICAÇÃO ORÇAMENTÁRIA, DOS RECURSOS FINANCEIROS E ESTIMATIVA DA DESPESA</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presente contratação será classificada na seguinte dotação orçamentária.</w:t>
      </w:r>
    </w:p>
    <w:p>
      <w:pPr>
        <w:pStyle w:val="PargrafodaLista"/>
        <w:tabs>
          <w:tab w:val="left" w:pos="426"/>
          <w:tab w:val="left" w:pos="2525"/>
          <w:tab w:val="center" w:pos="4873"/>
        </w:tabs>
        <w:ind w:left="0"/>
        <w:jc w:val="both"/>
        <w:rPr>
          <w:rFonts w:ascii="Cambria" w:hAnsi="Cambria"/>
          <w:b/>
          <w:sz w:val="24"/>
          <w:szCs w:val="24"/>
        </w:rPr>
      </w:pPr>
      <w:r>
        <w:rPr>
          <w:rFonts w:ascii="Cambria" w:hAnsi="Cambria"/>
          <w:b/>
          <w:sz w:val="24"/>
          <w:szCs w:val="24"/>
        </w:rPr>
        <w:t>SECRETARIA MUNICIPAL DE SAÚDE:</w:t>
      </w:r>
    </w:p>
    <w:p>
      <w:pPr>
        <w:tabs>
          <w:tab w:val="left" w:pos="284"/>
          <w:tab w:val="left" w:pos="2525"/>
          <w:tab w:val="center" w:pos="4873"/>
        </w:tabs>
        <w:jc w:val="both"/>
        <w:rPr>
          <w:rFonts w:ascii="Cambria" w:hAnsi="Cambria"/>
          <w:sz w:val="24"/>
          <w:szCs w:val="24"/>
        </w:rPr>
      </w:pPr>
      <w:r>
        <w:rPr>
          <w:rFonts w:ascii="Cambria" w:hAnsi="Cambria"/>
          <w:sz w:val="24"/>
          <w:szCs w:val="24"/>
        </w:rPr>
        <w:t>UNID. ORÇAMENTÁRIA: 04 -  Secretaria de Saúde</w:t>
      </w:r>
    </w:p>
    <w:p>
      <w:pPr>
        <w:tabs>
          <w:tab w:val="left" w:pos="284"/>
          <w:tab w:val="left" w:pos="2525"/>
          <w:tab w:val="center" w:pos="4873"/>
        </w:tabs>
        <w:jc w:val="both"/>
        <w:rPr>
          <w:rFonts w:ascii="Cambria" w:hAnsi="Cambria"/>
          <w:sz w:val="24"/>
          <w:szCs w:val="24"/>
        </w:rPr>
      </w:pPr>
      <w:r>
        <w:rPr>
          <w:rFonts w:ascii="Cambria" w:hAnsi="Cambria"/>
          <w:sz w:val="24"/>
          <w:szCs w:val="24"/>
        </w:rPr>
        <w:t>DOTAÇÕES ORÇAMENTÁRIAS: 0401.122.0014.2.009 – Recursos Próprios – Secretaria de Saúde</w:t>
      </w:r>
    </w:p>
    <w:p>
      <w:pPr>
        <w:tabs>
          <w:tab w:val="left" w:pos="284"/>
          <w:tab w:val="left" w:pos="2525"/>
          <w:tab w:val="center" w:pos="4873"/>
        </w:tabs>
        <w:jc w:val="both"/>
        <w:rPr>
          <w:rFonts w:ascii="Cambria" w:hAnsi="Cambria"/>
          <w:sz w:val="24"/>
          <w:szCs w:val="24"/>
        </w:rPr>
      </w:pPr>
      <w:r>
        <w:rPr>
          <w:rFonts w:ascii="Cambria" w:hAnsi="Cambria"/>
          <w:sz w:val="24"/>
          <w:szCs w:val="24"/>
        </w:rPr>
        <w:t>ELEMENTO DESPESA: 4.4.90.52.00 – Equipamentos e material permanente</w:t>
      </w:r>
    </w:p>
    <w:p>
      <w:pPr>
        <w:tabs>
          <w:tab w:val="left" w:pos="284"/>
          <w:tab w:val="left" w:pos="2525"/>
          <w:tab w:val="center" w:pos="4873"/>
        </w:tabs>
        <w:jc w:val="both"/>
        <w:rPr>
          <w:rFonts w:ascii="Cambria" w:hAnsi="Cambria"/>
          <w:sz w:val="24"/>
          <w:szCs w:val="24"/>
        </w:rPr>
      </w:pPr>
      <w:r>
        <w:rPr>
          <w:rFonts w:ascii="Cambria" w:hAnsi="Cambria"/>
          <w:sz w:val="24"/>
          <w:szCs w:val="24"/>
        </w:rPr>
        <w:t>FONTE DE RECURSO: 1500100200 – Receita de imposto e transf. saúde</w:t>
      </w:r>
    </w:p>
    <w:p>
      <w:pPr>
        <w:tabs>
          <w:tab w:val="left" w:pos="284"/>
          <w:tab w:val="left" w:pos="2525"/>
          <w:tab w:val="center" w:pos="4873"/>
        </w:tabs>
        <w:jc w:val="both"/>
        <w:rPr>
          <w:rFonts w:ascii="Cambria" w:hAnsi="Cambria"/>
          <w:sz w:val="24"/>
          <w:szCs w:val="24"/>
        </w:rPr>
      </w:pPr>
    </w:p>
    <w:p>
      <w:pPr>
        <w:pStyle w:val="PargrafodaLista"/>
        <w:tabs>
          <w:tab w:val="left" w:pos="426"/>
          <w:tab w:val="left" w:pos="2525"/>
          <w:tab w:val="center" w:pos="4873"/>
        </w:tabs>
        <w:ind w:left="0"/>
        <w:jc w:val="both"/>
        <w:rPr>
          <w:rFonts w:ascii="Cambria" w:hAnsi="Cambria"/>
          <w:b/>
          <w:sz w:val="24"/>
          <w:szCs w:val="24"/>
        </w:rPr>
      </w:pPr>
      <w:r>
        <w:rPr>
          <w:rFonts w:ascii="Cambria" w:hAnsi="Cambria"/>
          <w:b/>
          <w:sz w:val="24"/>
          <w:szCs w:val="24"/>
        </w:rPr>
        <w:t>SECRETARIA MUNICIPAL DE TRABALHO E ASSISTENCIA SOCIAL:</w:t>
      </w:r>
    </w:p>
    <w:p>
      <w:pPr>
        <w:tabs>
          <w:tab w:val="left" w:pos="284"/>
          <w:tab w:val="left" w:pos="2525"/>
          <w:tab w:val="center" w:pos="4873"/>
        </w:tabs>
        <w:jc w:val="both"/>
        <w:rPr>
          <w:rFonts w:ascii="Cambria" w:hAnsi="Cambria"/>
          <w:sz w:val="24"/>
          <w:szCs w:val="24"/>
        </w:rPr>
      </w:pPr>
      <w:r>
        <w:rPr>
          <w:rFonts w:ascii="Cambria" w:hAnsi="Cambria"/>
          <w:sz w:val="24"/>
          <w:szCs w:val="24"/>
        </w:rPr>
        <w:t>UNID. ORÇAMENTÁRIA: 0504 – Fundo municipal de Assistência Social</w:t>
      </w:r>
    </w:p>
    <w:p>
      <w:pPr>
        <w:tabs>
          <w:tab w:val="left" w:pos="284"/>
          <w:tab w:val="left" w:pos="2525"/>
          <w:tab w:val="center" w:pos="4873"/>
        </w:tabs>
        <w:jc w:val="both"/>
        <w:rPr>
          <w:rFonts w:ascii="Cambria" w:hAnsi="Cambria"/>
          <w:sz w:val="24"/>
          <w:szCs w:val="24"/>
        </w:rPr>
      </w:pPr>
      <w:r>
        <w:rPr>
          <w:rFonts w:ascii="Cambria" w:hAnsi="Cambria"/>
          <w:sz w:val="24"/>
          <w:szCs w:val="24"/>
        </w:rPr>
        <w:t>DOTAÇÕES ORÇAMENTÁRIAS: 08.244.0007.2.032 – IGD – PAB – Índice de Gestão Descentralizada do Programa Bolsa Família</w:t>
      </w:r>
    </w:p>
    <w:p>
      <w:pPr>
        <w:tabs>
          <w:tab w:val="left" w:pos="284"/>
          <w:tab w:val="left" w:pos="2525"/>
          <w:tab w:val="center" w:pos="4873"/>
        </w:tabs>
        <w:jc w:val="both"/>
        <w:rPr>
          <w:rFonts w:ascii="Cambria" w:hAnsi="Cambria"/>
          <w:sz w:val="24"/>
          <w:szCs w:val="24"/>
        </w:rPr>
      </w:pPr>
      <w:r>
        <w:rPr>
          <w:rFonts w:ascii="Cambria" w:hAnsi="Cambria"/>
          <w:sz w:val="24"/>
          <w:szCs w:val="24"/>
        </w:rPr>
        <w:t>ELEMENTO DESPESA: 4.4.90.52.00 – Equipamentos e material permanente</w:t>
      </w:r>
    </w:p>
    <w:p>
      <w:pPr>
        <w:tabs>
          <w:tab w:val="left" w:pos="284"/>
          <w:tab w:val="left" w:pos="2525"/>
          <w:tab w:val="center" w:pos="4873"/>
        </w:tabs>
        <w:jc w:val="both"/>
        <w:rPr>
          <w:rFonts w:ascii="Cambria" w:hAnsi="Cambria"/>
          <w:sz w:val="24"/>
          <w:szCs w:val="24"/>
        </w:rPr>
      </w:pPr>
      <w:r>
        <w:rPr>
          <w:rFonts w:ascii="Cambria" w:hAnsi="Cambria"/>
          <w:sz w:val="24"/>
          <w:szCs w:val="24"/>
        </w:rPr>
        <w:t>FONTE DE RECURSO: 1660000000 – Transferência de recursos FNAS</w:t>
      </w:r>
    </w:p>
    <w:p>
      <w:pPr>
        <w:tabs>
          <w:tab w:val="left" w:pos="284"/>
          <w:tab w:val="left" w:pos="2525"/>
          <w:tab w:val="center" w:pos="4873"/>
        </w:tabs>
        <w:jc w:val="both"/>
        <w:rPr>
          <w:rFonts w:ascii="Cambria" w:hAnsi="Cambria"/>
          <w:sz w:val="24"/>
          <w:szCs w:val="24"/>
        </w:rPr>
      </w:pPr>
    </w:p>
    <w:p>
      <w:pPr>
        <w:tabs>
          <w:tab w:val="left" w:pos="284"/>
          <w:tab w:val="left" w:pos="2525"/>
          <w:tab w:val="center" w:pos="4873"/>
        </w:tabs>
        <w:jc w:val="both"/>
        <w:rPr>
          <w:rFonts w:ascii="Cambria" w:hAnsi="Cambria"/>
          <w:sz w:val="24"/>
          <w:szCs w:val="24"/>
        </w:rPr>
      </w:pPr>
      <w:r>
        <w:rPr>
          <w:rFonts w:ascii="Cambria" w:hAnsi="Cambria"/>
          <w:sz w:val="24"/>
          <w:szCs w:val="24"/>
        </w:rPr>
        <w:t>UNID. ORÇAMENTÁRIA: 0501 – Secretaria do Trabalho e Assistência Social</w:t>
      </w:r>
    </w:p>
    <w:p>
      <w:pPr>
        <w:tabs>
          <w:tab w:val="left" w:pos="284"/>
          <w:tab w:val="left" w:pos="2525"/>
          <w:tab w:val="center" w:pos="4873"/>
        </w:tabs>
        <w:jc w:val="both"/>
        <w:rPr>
          <w:rFonts w:ascii="Cambria" w:hAnsi="Cambria"/>
          <w:sz w:val="24"/>
          <w:szCs w:val="24"/>
        </w:rPr>
      </w:pPr>
      <w:r>
        <w:rPr>
          <w:rFonts w:ascii="Cambria" w:hAnsi="Cambria"/>
          <w:sz w:val="24"/>
          <w:szCs w:val="24"/>
        </w:rPr>
        <w:t>DOTAÇÕES ORÇAMENTÁRIAS: 08.122.0014.2.016 – Manutenção e Funcionamento da Secretaria Municipal do Trabalho e Assistência Social</w:t>
      </w:r>
    </w:p>
    <w:p>
      <w:pPr>
        <w:tabs>
          <w:tab w:val="left" w:pos="284"/>
          <w:tab w:val="left" w:pos="2525"/>
          <w:tab w:val="center" w:pos="4873"/>
        </w:tabs>
        <w:jc w:val="both"/>
        <w:rPr>
          <w:rFonts w:ascii="Cambria" w:hAnsi="Cambria"/>
          <w:sz w:val="24"/>
          <w:szCs w:val="24"/>
        </w:rPr>
      </w:pPr>
      <w:r>
        <w:rPr>
          <w:rFonts w:ascii="Cambria" w:hAnsi="Cambria"/>
          <w:sz w:val="24"/>
          <w:szCs w:val="24"/>
        </w:rPr>
        <w:t>ELEMENTO DESPESA: 4.4.90.52.00 – Equipamentos e material permanente</w:t>
      </w:r>
    </w:p>
    <w:p>
      <w:pPr>
        <w:tabs>
          <w:tab w:val="left" w:pos="284"/>
          <w:tab w:val="left" w:pos="2525"/>
          <w:tab w:val="center" w:pos="4873"/>
        </w:tabs>
        <w:jc w:val="both"/>
        <w:rPr>
          <w:rFonts w:ascii="Cambria" w:hAnsi="Cambria"/>
          <w:sz w:val="24"/>
          <w:szCs w:val="24"/>
        </w:rPr>
      </w:pPr>
      <w:r>
        <w:rPr>
          <w:rFonts w:ascii="Cambria" w:hAnsi="Cambria"/>
          <w:sz w:val="24"/>
          <w:szCs w:val="24"/>
        </w:rPr>
        <w:t>FONTE DE RECURSO: 1500000000 – Recursos não vinculados de impostos</w:t>
      </w:r>
    </w:p>
    <w:p>
      <w:pPr>
        <w:tabs>
          <w:tab w:val="left" w:pos="284"/>
          <w:tab w:val="left" w:pos="2525"/>
          <w:tab w:val="center" w:pos="4873"/>
        </w:tabs>
        <w:jc w:val="both"/>
        <w:rPr>
          <w:rFonts w:ascii="Cambria" w:hAnsi="Cambria"/>
          <w:sz w:val="24"/>
          <w:szCs w:val="24"/>
        </w:rPr>
      </w:pPr>
    </w:p>
    <w:p>
      <w:pPr>
        <w:pStyle w:val="PargrafodaLista"/>
        <w:tabs>
          <w:tab w:val="left" w:pos="426"/>
          <w:tab w:val="left" w:pos="2525"/>
          <w:tab w:val="center" w:pos="4873"/>
        </w:tabs>
        <w:ind w:left="0"/>
        <w:jc w:val="both"/>
        <w:rPr>
          <w:rFonts w:ascii="Cambria" w:hAnsi="Cambria"/>
          <w:b/>
          <w:sz w:val="24"/>
          <w:szCs w:val="24"/>
        </w:rPr>
      </w:pPr>
      <w:r>
        <w:rPr>
          <w:rFonts w:ascii="Cambria" w:hAnsi="Cambria"/>
          <w:b/>
          <w:sz w:val="24"/>
          <w:szCs w:val="24"/>
        </w:rPr>
        <w:t>SECRETARIA MUNICIPAL DE AGRICULTURA E MEIO AMBIENTE:</w:t>
      </w:r>
    </w:p>
    <w:p>
      <w:pPr>
        <w:tabs>
          <w:tab w:val="left" w:pos="284"/>
          <w:tab w:val="left" w:pos="2525"/>
          <w:tab w:val="center" w:pos="4873"/>
        </w:tabs>
        <w:jc w:val="both"/>
        <w:rPr>
          <w:rFonts w:ascii="Cambria" w:hAnsi="Cambria"/>
          <w:sz w:val="24"/>
          <w:szCs w:val="24"/>
        </w:rPr>
      </w:pPr>
      <w:r>
        <w:rPr>
          <w:rFonts w:ascii="Cambria" w:hAnsi="Cambria"/>
          <w:sz w:val="24"/>
          <w:szCs w:val="24"/>
        </w:rPr>
        <w:t>UNID. ORÇAMENTÁRIA: 0601 – Secretaria Municipal de Agricultura e Meio Ambiente</w:t>
      </w:r>
    </w:p>
    <w:p>
      <w:pPr>
        <w:tabs>
          <w:tab w:val="left" w:pos="284"/>
          <w:tab w:val="left" w:pos="2525"/>
          <w:tab w:val="center" w:pos="4873"/>
        </w:tabs>
        <w:jc w:val="both"/>
        <w:rPr>
          <w:rFonts w:ascii="Cambria" w:hAnsi="Cambria"/>
          <w:sz w:val="24"/>
          <w:szCs w:val="24"/>
        </w:rPr>
      </w:pPr>
      <w:r>
        <w:rPr>
          <w:rFonts w:ascii="Cambria" w:hAnsi="Cambria"/>
          <w:sz w:val="24"/>
          <w:szCs w:val="24"/>
        </w:rPr>
        <w:t>DOTAÇÕES ORÇAMENTÁRIAS: 20.122.0014.2.039 – Funcionamento da Secretaria de Agricultura e Meio Ambiente</w:t>
      </w:r>
    </w:p>
    <w:p>
      <w:pPr>
        <w:tabs>
          <w:tab w:val="left" w:pos="284"/>
          <w:tab w:val="left" w:pos="2525"/>
          <w:tab w:val="center" w:pos="4873"/>
        </w:tabs>
        <w:jc w:val="both"/>
        <w:rPr>
          <w:rFonts w:ascii="Cambria" w:hAnsi="Cambria"/>
          <w:sz w:val="24"/>
          <w:szCs w:val="24"/>
        </w:rPr>
      </w:pPr>
      <w:r>
        <w:rPr>
          <w:rFonts w:ascii="Cambria" w:hAnsi="Cambria"/>
          <w:sz w:val="24"/>
          <w:szCs w:val="24"/>
        </w:rPr>
        <w:t>ELEMENTO DESPESA: 4.4.90.52.00 – Equipamentos e material permanente</w:t>
      </w:r>
    </w:p>
    <w:p>
      <w:pPr>
        <w:tabs>
          <w:tab w:val="left" w:pos="284"/>
          <w:tab w:val="left" w:pos="2525"/>
          <w:tab w:val="center" w:pos="4873"/>
        </w:tabs>
        <w:jc w:val="both"/>
        <w:rPr>
          <w:rFonts w:ascii="Cambria" w:hAnsi="Cambria"/>
          <w:sz w:val="24"/>
          <w:szCs w:val="24"/>
        </w:rPr>
      </w:pPr>
      <w:r>
        <w:rPr>
          <w:rFonts w:ascii="Cambria" w:hAnsi="Cambria"/>
          <w:sz w:val="24"/>
          <w:szCs w:val="24"/>
        </w:rPr>
        <w:t>FONTE DE RECURSO: 1500000000 – Recursos não vinculados de impostos</w:t>
      </w:r>
    </w:p>
    <w:p>
      <w:pPr>
        <w:tabs>
          <w:tab w:val="left" w:pos="284"/>
          <w:tab w:val="left" w:pos="2525"/>
          <w:tab w:val="center" w:pos="4873"/>
        </w:tabs>
        <w:jc w:val="both"/>
        <w:rPr>
          <w:rFonts w:ascii="Cambria" w:hAnsi="Cambria"/>
          <w:bCs/>
          <w:sz w:val="24"/>
          <w:szCs w:val="24"/>
        </w:rPr>
      </w:pPr>
    </w:p>
    <w:p>
      <w:pPr>
        <w:pStyle w:val="PargrafodaLista"/>
        <w:numPr>
          <w:ilvl w:val="1"/>
          <w:numId w:val="33"/>
        </w:numPr>
        <w:tabs>
          <w:tab w:val="left" w:pos="284"/>
          <w:tab w:val="left" w:pos="426"/>
          <w:tab w:val="left" w:pos="2525"/>
          <w:tab w:val="center" w:pos="4873"/>
        </w:tabs>
        <w:suppressAutoHyphens w:val="0"/>
        <w:spacing w:line="276" w:lineRule="auto"/>
        <w:ind w:left="0" w:firstLine="0"/>
        <w:jc w:val="both"/>
        <w:rPr>
          <w:rFonts w:ascii="Cambria" w:hAnsi="Cambria"/>
          <w:sz w:val="24"/>
          <w:szCs w:val="24"/>
        </w:rPr>
      </w:pPr>
      <w:r>
        <w:rPr>
          <w:rFonts w:ascii="Cambria" w:hAnsi="Cambria"/>
          <w:b/>
          <w:sz w:val="24"/>
          <w:szCs w:val="24"/>
        </w:rPr>
        <w:t>Valor global estimado:</w:t>
      </w:r>
      <w:r>
        <w:rPr>
          <w:rFonts w:ascii="Cambria" w:hAnsi="Cambria"/>
        </w:rPr>
        <w:t xml:space="preserve"> </w:t>
      </w:r>
      <w:r>
        <w:rPr>
          <w:rFonts w:ascii="Cambria" w:hAnsi="Cambria"/>
          <w:bCs/>
          <w:sz w:val="24"/>
          <w:szCs w:val="24"/>
        </w:rPr>
        <w:t>R$ 918.060,00 (Novecentos e dezoito mil e sessenta reais).</w:t>
      </w:r>
    </w:p>
    <w:p>
      <w:pPr>
        <w:pStyle w:val="PargrafodaLista"/>
        <w:tabs>
          <w:tab w:val="left" w:pos="284"/>
          <w:tab w:val="left" w:pos="426"/>
          <w:tab w:val="left" w:pos="2525"/>
          <w:tab w:val="center" w:pos="4873"/>
        </w:tabs>
        <w:ind w:left="0"/>
        <w:jc w:val="both"/>
        <w:rPr>
          <w:rFonts w:ascii="Cambria" w:hAnsi="Cambria"/>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Metodologia do orçamento:</w:t>
      </w:r>
    </w:p>
    <w:p>
      <w:pPr>
        <w:tabs>
          <w:tab w:val="left" w:pos="284"/>
        </w:tabs>
        <w:jc w:val="both"/>
        <w:rPr>
          <w:rFonts w:ascii="Cambria" w:hAnsi="Cambria"/>
          <w:b/>
          <w:sz w:val="24"/>
          <w:szCs w:val="24"/>
        </w:rPr>
      </w:pPr>
      <w:r>
        <w:rPr>
          <w:rFonts w:ascii="Cambria" w:hAnsi="Cambria"/>
          <w:sz w:val="24"/>
          <w:szCs w:val="24"/>
        </w:rPr>
        <w:t>Orçamento baseado em pesquisas de preços realizadas pelo Setor de Compras do município, conforme Mapa comparativo de preços em anexo aos autos.</w:t>
      </w:r>
    </w:p>
    <w:p>
      <w:pPr>
        <w:tabs>
          <w:tab w:val="left" w:pos="284"/>
        </w:tabs>
        <w:jc w:val="both"/>
        <w:rPr>
          <w:rFonts w:ascii="Cambria" w:hAnsi="Cambria"/>
          <w:b/>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REQUISITOS GERAIS DA CONTRATAÇÃO.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Sustentabilidade:</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bookmarkStart w:id="41" w:name="_Hlk155790712"/>
      <w:r>
        <w:rPr>
          <w:rFonts w:ascii="Cambria" w:hAnsi="Cambria"/>
          <w:bCs/>
          <w:sz w:val="24"/>
          <w:szCs w:val="24"/>
        </w:rPr>
        <w:t xml:space="preserve">Os critérios de sustentabilidade serão aqueles que, eventualmente, estarão descritos na descrição da especificação dos itens do objeto, que se baseiam no Guia Nacional de </w:t>
      </w:r>
      <w:r>
        <w:rPr>
          <w:rFonts w:ascii="Cambria" w:hAnsi="Cambria"/>
          <w:bCs/>
          <w:sz w:val="24"/>
          <w:szCs w:val="24"/>
        </w:rPr>
        <w:lastRenderedPageBreak/>
        <w:t>Contratações Sustentáveis. No mais, o município ainda não dispõe de norma própria correspondente a tal temática, limitando-se tais exigências a construção das especificações, quando for o caso e ou as rotinas de fiscalização e padrões de desempenho, as quais analisarão tais requisitos, quando exigidos.</w:t>
      </w:r>
    </w:p>
    <w:bookmarkEnd w:id="41"/>
    <w:p>
      <w:pPr>
        <w:pStyle w:val="PargrafodaLista"/>
        <w:tabs>
          <w:tab w:val="left" w:pos="426"/>
          <w:tab w:val="left" w:pos="2525"/>
          <w:tab w:val="center" w:pos="4873"/>
        </w:tabs>
        <w:ind w:left="1428"/>
        <w:jc w:val="both"/>
        <w:rPr>
          <w:rFonts w:ascii="Cambria" w:hAnsi="Cambria"/>
          <w:b/>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Indicação de marcas ou modelo:</w:t>
      </w:r>
    </w:p>
    <w:p>
      <w:pPr>
        <w:tabs>
          <w:tab w:val="left" w:pos="709"/>
          <w:tab w:val="left" w:pos="2525"/>
          <w:tab w:val="center" w:pos="4873"/>
        </w:tabs>
        <w:jc w:val="both"/>
        <w:rPr>
          <w:rFonts w:ascii="Cambria" w:hAnsi="Cambria"/>
          <w:bCs/>
          <w:sz w:val="24"/>
          <w:szCs w:val="24"/>
        </w:rPr>
      </w:pPr>
      <w:r>
        <w:rPr>
          <w:rFonts w:ascii="Cambria" w:hAnsi="Cambria"/>
          <w:bCs/>
          <w:sz w:val="24"/>
          <w:szCs w:val="24"/>
        </w:rPr>
        <w:t>Na presente solicitação, não se fez necessária a exigência de marca e modelo dos itens pré-definidos, qualificados ou aprovados.</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 xml:space="preserve">Da vedação de utilização de marca/produto </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Não se aplica.</w:t>
      </w:r>
    </w:p>
    <w:p>
      <w:pPr>
        <w:pStyle w:val="PargrafodaLista"/>
        <w:tabs>
          <w:tab w:val="left" w:pos="567"/>
          <w:tab w:val="left" w:pos="2525"/>
          <w:tab w:val="center" w:pos="4873"/>
        </w:tabs>
        <w:ind w:left="0"/>
        <w:jc w:val="both"/>
        <w:rPr>
          <w:rFonts w:ascii="Cambria" w:hAnsi="Cambria"/>
          <w:bCs/>
          <w:sz w:val="24"/>
          <w:szCs w:val="24"/>
          <w:highlight w:val="yellow"/>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Garantia da contratação: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Não haverá exigência da garantia da contratação consoante os dispostos nos artigos 96 e seguintes da Lei nº 14.133, de 2021, bem como, pelas razões constantes do Estudo Técnico Preliminar - ETP.</w:t>
      </w:r>
    </w:p>
    <w:p>
      <w:pPr>
        <w:pStyle w:val="PargrafodaLista"/>
        <w:tabs>
          <w:tab w:val="left" w:pos="567"/>
          <w:tab w:val="left" w:pos="2525"/>
          <w:tab w:val="center" w:pos="4873"/>
        </w:tabs>
        <w:ind w:left="0"/>
        <w:jc w:val="both"/>
        <w:rPr>
          <w:rFonts w:ascii="Cambria" w:hAnsi="Cambria"/>
          <w:bCs/>
          <w:sz w:val="24"/>
          <w:szCs w:val="24"/>
        </w:rPr>
      </w:pPr>
    </w:p>
    <w:p>
      <w:pPr>
        <w:pStyle w:val="PargrafodaLista"/>
        <w:numPr>
          <w:ilvl w:val="1"/>
          <w:numId w:val="33"/>
        </w:numPr>
        <w:tabs>
          <w:tab w:val="center" w:pos="426"/>
        </w:tabs>
        <w:suppressAutoHyphens w:val="0"/>
        <w:spacing w:line="276" w:lineRule="auto"/>
        <w:jc w:val="both"/>
        <w:rPr>
          <w:rFonts w:ascii="Cambria" w:hAnsi="Cambria"/>
          <w:b/>
          <w:sz w:val="24"/>
          <w:szCs w:val="24"/>
        </w:rPr>
      </w:pPr>
      <w:r>
        <w:rPr>
          <w:rFonts w:ascii="Cambria" w:hAnsi="Cambria"/>
          <w:b/>
          <w:sz w:val="24"/>
          <w:szCs w:val="24"/>
        </w:rPr>
        <w:t>Justificativa para a não divisão de cotas de ME, EPP e MEI.</w:t>
      </w:r>
    </w:p>
    <w:p>
      <w:pPr>
        <w:jc w:val="both"/>
        <w:rPr>
          <w:rFonts w:ascii="Cambria" w:hAnsi="Cambria"/>
          <w:bCs/>
          <w:sz w:val="24"/>
          <w:szCs w:val="24"/>
        </w:rPr>
      </w:pPr>
      <w:r>
        <w:rPr>
          <w:rFonts w:ascii="Cambria" w:hAnsi="Cambria"/>
          <w:bCs/>
          <w:sz w:val="24"/>
          <w:szCs w:val="24"/>
        </w:rPr>
        <w:t>4.5.1 A aquisição de veículos automotores novos, zero quilômetro, devidamente licenciados e emplacados, demanda fornecimento por concessionárias autorizadas ou empresas com capacidade técnica e financeira compatível com os padrões exigidos pelas montadoras. Esse mercado é dominado por empresas de médio e grande porte, sendo incomum a atuação de microempresas, empresas de pequeno porte ou MEIs nesse tipo de fornecimento. Portanto, a divisão de cotas para ME, EPP ou MEI se mostra tecnicamente inviável, pois poderia inviabilizar a contratação e comprometer a economicidade e a eficiência da aquisição</w:t>
      </w:r>
    </w:p>
    <w:p>
      <w:pPr>
        <w:pStyle w:val="PargrafodaLista"/>
        <w:tabs>
          <w:tab w:val="left" w:pos="567"/>
          <w:tab w:val="left" w:pos="2525"/>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DAS CONDIÇÕES E PRAZOS DE ENTREGA/FORNECIMENTO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Local de entrega do Objeto</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b/>
          <w:sz w:val="24"/>
          <w:szCs w:val="24"/>
        </w:rPr>
      </w:pPr>
      <w:r>
        <w:rPr>
          <w:rFonts w:ascii="Cambria" w:hAnsi="Cambria"/>
          <w:bCs/>
          <w:sz w:val="24"/>
          <w:szCs w:val="24"/>
        </w:rPr>
        <w:t xml:space="preserve"> Os produtos deverão ser entregues em até </w:t>
      </w:r>
      <w:r>
        <w:rPr>
          <w:rFonts w:ascii="Cambria" w:hAnsi="Cambria"/>
          <w:b/>
          <w:sz w:val="24"/>
          <w:szCs w:val="24"/>
        </w:rPr>
        <w:t>30 (TRINTA) DIAS</w:t>
      </w:r>
      <w:r>
        <w:rPr>
          <w:rFonts w:ascii="Cambria" w:hAnsi="Cambria"/>
          <w:bCs/>
          <w:sz w:val="24"/>
          <w:szCs w:val="24"/>
        </w:rPr>
        <w:t xml:space="preserve">, a contar da emissão da </w:t>
      </w:r>
      <w:bookmarkStart w:id="42" w:name="_Hlk155772594"/>
      <w:r>
        <w:rPr>
          <w:rFonts w:ascii="Cambria" w:hAnsi="Cambria"/>
          <w:b/>
          <w:sz w:val="24"/>
          <w:szCs w:val="24"/>
        </w:rPr>
        <w:t>ORDEM DE COMPRA/AUTORIZAÇÃO DE FORNECIMENTO</w:t>
      </w:r>
      <w:bookmarkStart w:id="43" w:name="_Hlk155772600"/>
      <w:r>
        <w:rPr>
          <w:rFonts w:ascii="Cambria" w:hAnsi="Cambria"/>
          <w:b/>
          <w:sz w:val="24"/>
          <w:szCs w:val="24"/>
        </w:rPr>
        <w:t>/NOTA DE EMPENHO</w:t>
      </w:r>
      <w:bookmarkEnd w:id="42"/>
      <w:bookmarkEnd w:id="43"/>
      <w:r>
        <w:rPr>
          <w:rFonts w:ascii="Cambria" w:hAnsi="Cambria"/>
          <w:b/>
          <w:sz w:val="24"/>
          <w:szCs w:val="24"/>
        </w:rPr>
        <w:t>.</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sz w:val="24"/>
          <w:szCs w:val="24"/>
          <w:lang w:val="pt-PT"/>
        </w:rPr>
      </w:pPr>
      <w:r>
        <w:rPr>
          <w:rFonts w:ascii="Cambria" w:hAnsi="Cambria"/>
          <w:bCs/>
          <w:sz w:val="24"/>
          <w:szCs w:val="24"/>
        </w:rPr>
        <w:t xml:space="preserve"> Os produtos deverão ser entregues no(a) sede das Secretarias ou nos locais determinados pela CONTRATANTE</w:t>
      </w:r>
      <w:r>
        <w:rPr>
          <w:rFonts w:ascii="Cambria" w:hAnsi="Cambria"/>
          <w:sz w:val="24"/>
          <w:szCs w:val="24"/>
          <w:lang w:val="pt-PT"/>
        </w:rPr>
        <w:t>.</w:t>
      </w:r>
    </w:p>
    <w:p>
      <w:pPr>
        <w:pStyle w:val="PargrafodaLista"/>
        <w:tabs>
          <w:tab w:val="left" w:pos="567"/>
          <w:tab w:val="left" w:pos="1701"/>
          <w:tab w:val="center" w:pos="4873"/>
        </w:tabs>
        <w:ind w:left="0"/>
        <w:jc w:val="both"/>
        <w:rPr>
          <w:rFonts w:ascii="Cambria" w:hAnsi="Cambria"/>
          <w:sz w:val="24"/>
          <w:szCs w:val="24"/>
          <w:lang w:val="pt-PT"/>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Forma de entrega, acompanhamento e fiscalização da entrega</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fornecimento dos produtos licitados poderá ser feito de forma fracionada ou em sua totalidade, de acordo com a necessidade do órgão interessado durante o prazo de contratação, mediante a expedição de periódicas de </w:t>
      </w:r>
      <w:r>
        <w:rPr>
          <w:rFonts w:ascii="Cambria" w:hAnsi="Cambria"/>
          <w:b/>
          <w:sz w:val="24"/>
          <w:szCs w:val="24"/>
        </w:rPr>
        <w:t>ORDEM DE COMPRA/AUTORIZAÇÃO DE FORNECIMENTO/NOTA DE EMPENHO</w:t>
      </w:r>
      <w:r>
        <w:rPr>
          <w:rFonts w:ascii="Cambria" w:hAnsi="Cambria"/>
          <w:bCs/>
          <w:sz w:val="24"/>
          <w:szCs w:val="24"/>
        </w:rPr>
        <w:t>, pelo órgão demandante, constando a relação e a quantidade de itens a serem entregues.</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A entrega dos itens será acompanhada e fiscalizada por servidor do órgão demandante, o qual deverá atestar os documentos da despesa, quando comprovada a fiel e correta entrega para fins de pagamento.</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presença da fiscalização do órgão demandante não elide nem diminui a responsabilidade da empresa contratada.</w:t>
      </w:r>
    </w:p>
    <w:p>
      <w:pPr>
        <w:pStyle w:val="PargrafodaLista"/>
        <w:numPr>
          <w:ilvl w:val="2"/>
          <w:numId w:val="33"/>
        </w:numPr>
        <w:tabs>
          <w:tab w:val="left" w:pos="567"/>
          <w:tab w:val="left" w:pos="1701"/>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Caberá ao servidor designado rejeitar totalmente ou em parte, qualquer bem que não esteja de acordo com as exigências, bem como, determinar prazo para substituição do item eventualmente fora de especificação.</w:t>
      </w:r>
    </w:p>
    <w:p>
      <w:pPr>
        <w:pStyle w:val="PargrafodaLista"/>
        <w:tabs>
          <w:tab w:val="left" w:pos="567"/>
          <w:tab w:val="left" w:pos="1701"/>
          <w:tab w:val="center" w:pos="4873"/>
        </w:tabs>
        <w:ind w:left="0"/>
        <w:jc w:val="both"/>
        <w:rPr>
          <w:rFonts w:ascii="Cambria" w:hAnsi="Cambria"/>
          <w:bCs/>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Prazo para entrega</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Os produtos deverão ser entregues em até </w:t>
      </w:r>
      <w:r>
        <w:rPr>
          <w:rFonts w:ascii="Cambria" w:hAnsi="Cambria"/>
          <w:b/>
          <w:sz w:val="24"/>
          <w:szCs w:val="24"/>
        </w:rPr>
        <w:t>30 (TRINTA) DIAS</w:t>
      </w:r>
      <w:r>
        <w:rPr>
          <w:rFonts w:ascii="Cambria" w:hAnsi="Cambria"/>
          <w:bCs/>
          <w:sz w:val="24"/>
          <w:szCs w:val="24"/>
        </w:rPr>
        <w:t xml:space="preserve">, a contar da emissão da </w:t>
      </w:r>
      <w:r>
        <w:rPr>
          <w:rFonts w:ascii="Cambria" w:hAnsi="Cambria"/>
          <w:b/>
          <w:sz w:val="24"/>
          <w:szCs w:val="24"/>
        </w:rPr>
        <w:t>Ordem de Compra/Nota de Empenho</w:t>
      </w:r>
      <w:r>
        <w:rPr>
          <w:rFonts w:ascii="Cambria" w:hAnsi="Cambria"/>
          <w:bCs/>
          <w:sz w:val="24"/>
          <w:szCs w:val="24"/>
        </w:rPr>
        <w:t xml:space="preserve">, </w:t>
      </w:r>
      <w:r>
        <w:rPr>
          <w:rFonts w:ascii="Cambria" w:hAnsi="Cambria"/>
          <w:b/>
          <w:sz w:val="24"/>
          <w:szCs w:val="24"/>
          <w:u w:val="single"/>
        </w:rPr>
        <w:t>que será enviada à contratada através de e-mail</w:t>
      </w:r>
      <w:r>
        <w:rPr>
          <w:rFonts w:ascii="Cambria" w:hAnsi="Cambria"/>
          <w:bCs/>
          <w:sz w:val="24"/>
          <w:szCs w:val="24"/>
        </w:rPr>
        <w:t xml:space="preserve"> ou outro meio que comprove o seu recebimento.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bookmarkStart w:id="44" w:name="_Hlk155791647"/>
      <w:r>
        <w:rPr>
          <w:rFonts w:ascii="Cambria" w:hAnsi="Cambria"/>
          <w:bCs/>
          <w:sz w:val="24"/>
          <w:szCs w:val="24"/>
        </w:rPr>
        <w:t xml:space="preserve"> A demanda correspondente a </w:t>
      </w:r>
      <w:r>
        <w:rPr>
          <w:rFonts w:ascii="Cambria" w:hAnsi="Cambria"/>
          <w:b/>
          <w:sz w:val="24"/>
          <w:szCs w:val="24"/>
        </w:rPr>
        <w:t>ORDEM DE COMPRA/AUTORIZAÇÃO DE FORNECIMENTO/NOTA DE EMPENHO</w:t>
      </w:r>
      <w:r>
        <w:rPr>
          <w:rFonts w:ascii="Cambria" w:hAnsi="Cambria"/>
          <w:bCs/>
          <w:sz w:val="24"/>
          <w:szCs w:val="24"/>
        </w:rPr>
        <w:t xml:space="preserve"> deverá ser entregue em remessa única. </w:t>
      </w:r>
    </w:p>
    <w:p>
      <w:pPr>
        <w:pStyle w:val="PargrafodaLista"/>
        <w:tabs>
          <w:tab w:val="left" w:pos="567"/>
          <w:tab w:val="left" w:pos="2525"/>
          <w:tab w:val="center" w:pos="4873"/>
        </w:tabs>
        <w:ind w:left="0"/>
        <w:jc w:val="both"/>
        <w:rPr>
          <w:rFonts w:ascii="Cambria" w:hAnsi="Cambria"/>
          <w:bCs/>
          <w:sz w:val="24"/>
          <w:szCs w:val="24"/>
        </w:rPr>
      </w:pPr>
    </w:p>
    <w:bookmarkEnd w:id="44"/>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DA FORMA DE RECEBIMENTO DO OBJETO E PAGAMENTO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Da forma de recebimento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recebimento </w:t>
      </w:r>
      <w:r>
        <w:rPr>
          <w:rFonts w:ascii="Cambria" w:hAnsi="Cambria"/>
          <w:b/>
          <w:sz w:val="24"/>
          <w:szCs w:val="24"/>
        </w:rPr>
        <w:t>definitivo</w:t>
      </w:r>
      <w:r>
        <w:rPr>
          <w:rFonts w:ascii="Cambria" w:hAnsi="Cambria"/>
          <w:bCs/>
          <w:sz w:val="24"/>
          <w:szCs w:val="24"/>
        </w:rPr>
        <w:t xml:space="preserve"> ocorrerá no prazo de 15 (quinze) dias úteis, a contar do recebimento da nota fiscal ou instrumento de cobrança equivalente pela Administração, após a verificação da qualidade e quantidade do material e consequente aceitação mediante termo detalhado.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Para as contratações decorrentes de despesas cujos valores não ultrapassem o limite de que trata o </w:t>
      </w:r>
      <w:hyperlink r:id="rId13" w:anchor="art75" w:history="1">
        <w:r>
          <w:rPr>
            <w:rFonts w:ascii="Cambria" w:hAnsi="Cambria"/>
            <w:bCs/>
            <w:sz w:val="24"/>
            <w:szCs w:val="24"/>
          </w:rPr>
          <w:t>inciso II do art. 75 da Lei nº 14.133, de 2021</w:t>
        </w:r>
      </w:hyperlink>
      <w:r>
        <w:rPr>
          <w:rFonts w:ascii="Cambria" w:hAnsi="Cambria"/>
          <w:bCs/>
          <w:sz w:val="24"/>
          <w:szCs w:val="24"/>
        </w:rPr>
        <w:t>, o prazo máximo para o recebimento definitivo será de até 05 (cinco) dias úteis.</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prazo para recebimento definitivo poderá ser excepcionalmente prorrogado, de forma justificada, por igual período, quando houver necessidade de diligências para a aferição do atendimento das exigências contratuais.</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No caso de controvérsia sobre a execução do objeto, quanto à dimensão, qualidade e quantidade, deverá ser observado o teor do </w:t>
      </w:r>
      <w:hyperlink r:id="rId14" w:anchor="art143" w:history="1">
        <w:r>
          <w:rPr>
            <w:rFonts w:ascii="Cambria" w:hAnsi="Cambria"/>
            <w:sz w:val="24"/>
            <w:szCs w:val="24"/>
          </w:rPr>
          <w:t>art. 143 da Lei nº 14.133, de 2021</w:t>
        </w:r>
      </w:hyperlink>
      <w:r>
        <w:rPr>
          <w:rFonts w:ascii="Cambria" w:hAnsi="Cambria"/>
          <w:bCs/>
          <w:sz w:val="24"/>
          <w:szCs w:val="24"/>
        </w:rPr>
        <w:t>, comunicando-se à empresa para emissão de Nota Fiscal no que pertine à parcela incontroversa da execução do objeto, para efeito de liquidação e pagamento.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recebimento provisório ou definitivo não excluirá a responsabilidade civil pela solidez e pela segurança do serviço nem a responsabilidade ético-profissional pela perfeita execução do contrato.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Pós conclusão dos procedimentos quanto ao recebimento, serão realizados os atos correspondentes a liquidação e pagamento da despesa.</w:t>
      </w:r>
    </w:p>
    <w:p>
      <w:pPr>
        <w:pStyle w:val="PargrafodaLista"/>
        <w:tabs>
          <w:tab w:val="left" w:pos="567"/>
          <w:tab w:val="left" w:pos="2525"/>
          <w:tab w:val="center" w:pos="4873"/>
        </w:tabs>
        <w:ind w:left="0"/>
        <w:jc w:val="both"/>
        <w:rPr>
          <w:rFonts w:ascii="Cambria" w:hAnsi="Cambria"/>
          <w:bCs/>
          <w:sz w:val="24"/>
          <w:szCs w:val="24"/>
        </w:rPr>
      </w:pP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Forma de pagamento</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Pagamento será efetuado na proporção de entrega dos produtos, em até </w:t>
      </w:r>
      <w:r>
        <w:rPr>
          <w:rFonts w:ascii="Cambria" w:hAnsi="Cambria"/>
          <w:b/>
          <w:sz w:val="24"/>
          <w:szCs w:val="24"/>
        </w:rPr>
        <w:t xml:space="preserve">30 (trinta) dias </w:t>
      </w:r>
      <w:r>
        <w:rPr>
          <w:rFonts w:ascii="Cambria" w:hAnsi="Cambria"/>
          <w:bCs/>
          <w:sz w:val="24"/>
          <w:szCs w:val="24"/>
        </w:rPr>
        <w:t>após a emissão da nota fiscal ou instrumento de cobrança equivalente, mediante a constatação da entrega definitiva, através de atesto do recebimento dos produtos e o encaminhamento da documentação necessária, observada todas as disposições pactuadas, bem como, a ordem cronológica de pagamentos.</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Para fins de instrução dos procedimentos de pagamento, além dos documentos citados no subitem anterior, o fornecedor deverá enviar obrigatoriamente a comprovação da regularidade fiscal e trabalhista, constante da seguinte documentação:</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Nota Fiscal/fatura discriminativa, em via única, devidamente atestada pelo gestor do contrato;</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Prova de Regularidade relativa aos Tributos Federais e à Dívida Ativa da União, inclusive em relação as contribuições sociais;</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Prova de Regularidade relativa a Fazenda Estadual;</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Prova de Regularidade relativa a Fazenda Municipal;</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Prova de Regularidade relativa ao FGTS;</w:t>
      </w:r>
    </w:p>
    <w:p>
      <w:pPr>
        <w:pStyle w:val="PargrafodaLista"/>
        <w:numPr>
          <w:ilvl w:val="1"/>
          <w:numId w:val="34"/>
        </w:numPr>
        <w:tabs>
          <w:tab w:val="left" w:pos="567"/>
          <w:tab w:val="left" w:pos="1418"/>
          <w:tab w:val="left" w:pos="2525"/>
          <w:tab w:val="center" w:pos="4873"/>
        </w:tabs>
        <w:suppressAutoHyphens w:val="0"/>
        <w:spacing w:after="200" w:line="276" w:lineRule="auto"/>
        <w:ind w:left="1134" w:firstLine="0"/>
        <w:jc w:val="both"/>
        <w:rPr>
          <w:rFonts w:ascii="Cambria" w:hAnsi="Cambria"/>
          <w:bCs/>
          <w:sz w:val="24"/>
          <w:szCs w:val="24"/>
        </w:rPr>
      </w:pPr>
      <w:r>
        <w:rPr>
          <w:rFonts w:ascii="Cambria" w:hAnsi="Cambria"/>
          <w:bCs/>
          <w:sz w:val="24"/>
          <w:szCs w:val="24"/>
        </w:rPr>
        <w:t>Prova de Regularidade relativa à Justiça do trabalho (Certidão Negativa de Débitos Trabalhistas - CNDT).</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setor competente quanto aos pagamentos realizará a consulta dos documentos apresentados por meio de verificação on-line ao SICAF ou, na impossibilidade de acesso ao referido Sistema, mediante consulta aos sítios eletrônicos oficiais ou à documentação mencionada no art. 68 da Lei nº 14.133, de 2021.   </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 Administração deverá realizar consulta ao SICAF para: </w:t>
      </w:r>
    </w:p>
    <w:p>
      <w:pPr>
        <w:pStyle w:val="PargrafodaLista"/>
        <w:numPr>
          <w:ilvl w:val="3"/>
          <w:numId w:val="33"/>
        </w:numPr>
        <w:tabs>
          <w:tab w:val="left" w:pos="567"/>
          <w:tab w:val="left" w:pos="1560"/>
          <w:tab w:val="center" w:pos="4873"/>
        </w:tabs>
        <w:suppressAutoHyphens w:val="0"/>
        <w:spacing w:line="276" w:lineRule="auto"/>
        <w:ind w:left="709" w:hanging="10"/>
        <w:jc w:val="both"/>
        <w:rPr>
          <w:rFonts w:ascii="Cambria" w:hAnsi="Cambria"/>
          <w:bCs/>
          <w:sz w:val="24"/>
          <w:szCs w:val="24"/>
        </w:rPr>
      </w:pPr>
      <w:r>
        <w:rPr>
          <w:rFonts w:ascii="Cambria" w:hAnsi="Cambria"/>
          <w:bCs/>
          <w:sz w:val="24"/>
          <w:szCs w:val="24"/>
        </w:rPr>
        <w:t xml:space="preserve">verificar a manutenção das condições de habilitação exigidas no edital; </w:t>
      </w:r>
    </w:p>
    <w:p>
      <w:pPr>
        <w:pStyle w:val="PargrafodaLista"/>
        <w:numPr>
          <w:ilvl w:val="3"/>
          <w:numId w:val="33"/>
        </w:numPr>
        <w:tabs>
          <w:tab w:val="left" w:pos="567"/>
          <w:tab w:val="left" w:pos="1560"/>
          <w:tab w:val="center" w:pos="4873"/>
        </w:tabs>
        <w:suppressAutoHyphens w:val="0"/>
        <w:spacing w:line="276" w:lineRule="auto"/>
        <w:ind w:left="709" w:hanging="10"/>
        <w:jc w:val="both"/>
        <w:rPr>
          <w:rFonts w:ascii="Cambria" w:hAnsi="Cambria"/>
          <w:bCs/>
          <w:sz w:val="24"/>
          <w:szCs w:val="24"/>
        </w:rPr>
      </w:pPr>
      <w:r>
        <w:rPr>
          <w:rFonts w:ascii="Cambria" w:hAnsi="Cambria"/>
          <w:bCs/>
          <w:sz w:val="24"/>
          <w:szCs w:val="24"/>
        </w:rPr>
        <w:t>identificar possível razão que impeça a participação em licitação, no âmbito do órgão ou entidade, que implique proibição de contratar com o Poder Público, bem como ocorrências impeditivas indiretas.</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 xml:space="preserve">Persistindo a irregularidade, o contratante deverá adotar as medidas necessárias à rescisão contratual nos autos do processo administrativo correspondente, assegurada ao contratado a ampla defesa. </w:t>
      </w:r>
    </w:p>
    <w:p>
      <w:pPr>
        <w:pStyle w:val="PargrafodaLista"/>
        <w:numPr>
          <w:ilvl w:val="2"/>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Havendo a efetiva execução do objeto, os pagamentos serão realizados normalmente, até que se decida pela rescisão do contrato, caso o contratado não regularize sua situação junto ao SICAF.  </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Será considerada data do pagamento o dia em que constar como emitida a ordem bancária para pagamento.</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Quando do pagamento, será efetuada a retenção tributária prevista na legislação aplicável.</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Independentemente do percentual de tributo inserido na planilha, quando houver, serão retidos na fonte, quando da realização do pagamento, os percentuais estabelecidos na legislação vigente.</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contratado regularmente optante pelo Simples Nacional, nos termos da </w:t>
      </w:r>
      <w:hyperlink r:id="rId15" w:history="1">
        <w:r>
          <w:rPr>
            <w:rFonts w:ascii="Cambria" w:hAnsi="Cambria"/>
            <w:bCs/>
            <w:sz w:val="24"/>
            <w:szCs w:val="24"/>
          </w:rPr>
          <w:t>Lei Complementar nº 123, de 2006</w:t>
        </w:r>
      </w:hyperlink>
      <w:r>
        <w:rPr>
          <w:rFonts w:ascii="Cambria" w:hAnsi="Cambria"/>
          <w:bCs/>
          <w:sz w:val="24"/>
          <w:szCs w:val="24"/>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pPr>
        <w:pStyle w:val="PargrafodaLista"/>
        <w:tabs>
          <w:tab w:val="left" w:pos="567"/>
          <w:tab w:val="left" w:pos="2525"/>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DO PRAZO DE VIGÊNCIA</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contrato produzirá seus jurídicos e legais efeitos a partir da data de sua assinatura e vigorará até 31 de dezembro do referido exercício.</w:t>
      </w:r>
    </w:p>
    <w:p>
      <w:pPr>
        <w:tabs>
          <w:tab w:val="left" w:pos="426"/>
          <w:tab w:val="left" w:pos="2525"/>
          <w:tab w:val="center" w:pos="4873"/>
        </w:tabs>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REQUISITOS ESPECÍFICOS DO PROCEDIMENTO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Da forma de apresentação das propostas</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Na proposta de preços deverá constar as especificações detalhadas do item, quantidade solicitada, marca, o valor unitário e total, já considerando todas as despesas, tributos, impostos, taxas, encargos e demais despesas que incidam direta ou indiretamente sobre os produtos, mesmo que não estejam registrados neste documento.</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licitante deverá garantir a entrega dos itens sem qualquer defeito de fabricação, e se caso constatado alguma imperfeição, terão os itens devolvidos e a licitante submetida às penalidades da Lei, além do registro da falha no Cadastro de Fornecedores Municipais.</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Será considerada vencedora a licitante cuja proposta contenha o </w:t>
      </w:r>
      <w:r>
        <w:rPr>
          <w:rFonts w:ascii="Cambria" w:hAnsi="Cambria"/>
          <w:b/>
          <w:sz w:val="24"/>
          <w:szCs w:val="24"/>
        </w:rPr>
        <w:t>MENOR PREÇO DO ITEM</w:t>
      </w:r>
      <w:r>
        <w:rPr>
          <w:rFonts w:ascii="Cambria" w:hAnsi="Cambria"/>
          <w:bCs/>
          <w:sz w:val="24"/>
          <w:szCs w:val="24"/>
        </w:rPr>
        <w:t>, desde que atenda as exigências contidas neste Termo de Referência.</w:t>
      </w:r>
    </w:p>
    <w:p>
      <w:pPr>
        <w:pStyle w:val="PargrafodaLista"/>
        <w:tabs>
          <w:tab w:val="left" w:pos="567"/>
          <w:tab w:val="left" w:pos="709"/>
          <w:tab w:val="left" w:pos="2525"/>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MODELO DE GESTÃO DO CONTRATO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contrato deverá ser executado fielmente pelas partes, de acordo com as cláusulas avençadas e as normas da Lei nº 14.133, de 2021, e cada parte responderá pelas consequências de sua inexecução total ou parcial.</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Em caso de impedimento, ordem de paralisação ou suspensão do contrato, o cronograma de fornecimento será prorrogado automaticamente pelo tempo correspondente, anotadas tais circunstâncias mediante simples apostila.</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As comunicações entre o órgão ou entidade e a contratada devem ser realizadas por escrito sempre que o ato exigir tal formalidade, admitindo-se o uso de mensagem eletrônica para esse fim.</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órgão ou entidade poderá convocar representante da empresa para adoção de providências que devam ser cumpridas de imediato.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execução do contrato deverá ser acompanhada e fiscalizada pelo(s) fiscal(is) do contrato, ou pelos respectivos substitutos (</w:t>
      </w:r>
      <w:hyperlink r:id="rId16" w:anchor="art117" w:history="1">
        <w:r>
          <w:rPr>
            <w:rFonts w:ascii="Cambria" w:hAnsi="Cambria"/>
            <w:bCs/>
            <w:sz w:val="24"/>
            <w:szCs w:val="24"/>
          </w:rPr>
          <w:t>Lei nº 14.133, de 2021, art. 117, caput</w:t>
        </w:r>
      </w:hyperlink>
      <w:r>
        <w:rPr>
          <w:rFonts w:ascii="Cambria" w:hAnsi="Cambria"/>
          <w:bCs/>
          <w:sz w:val="24"/>
          <w:szCs w:val="24"/>
        </w:rPr>
        <w:t>).</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do contrato acompanhará a execução do contrato, para que sejam cumpridas todas as condições estabelecidas no contrato, de modo a assegurar os melhores resultados para a Administração.</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do contrato anotará no histórico de gerenciamento do contrato todas as ocorrências relacionadas à execução do contrato, com a descrição do que for necessário para a regularização das faltas ou dos defeitos observados. (</w:t>
      </w:r>
      <w:hyperlink r:id="rId17" w:anchor="art117§1" w:history="1">
        <w:r>
          <w:rPr>
            <w:rFonts w:ascii="Cambria" w:hAnsi="Cambria"/>
            <w:bCs/>
            <w:sz w:val="24"/>
            <w:szCs w:val="24"/>
          </w:rPr>
          <w:t>Lei nº 14.133, de 2021, art. 117, §1º</w:t>
        </w:r>
      </w:hyperlink>
      <w:r>
        <w:rPr>
          <w:rFonts w:ascii="Cambria" w:hAnsi="Cambria"/>
          <w:bCs/>
          <w:sz w:val="24"/>
          <w:szCs w:val="24"/>
        </w:rPr>
        <w:t>).</w:t>
      </w:r>
    </w:p>
    <w:p>
      <w:pPr>
        <w:pStyle w:val="PargrafodaLista"/>
        <w:numPr>
          <w:ilvl w:val="1"/>
          <w:numId w:val="33"/>
        </w:numPr>
        <w:tabs>
          <w:tab w:val="left" w:pos="42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Identificada qualquer inexatidão ou irregularidade, o fiscal do contrato emitirá notificações para a correção da execução do contrato, determinando prazo para a correção. </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do contrato informará ao gestor do contato, em tempo hábil, a situação que demandar decisão ou adoção de medidas que ultrapassem sua competência, para que adote as medidas necessárias e saneadoras, se for o caso.</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No caso de ocorrências que possam inviabilizar a execução do contrato nas datas aprazadas, o fiscal do contrato comunicará o fato imediatamente ao gestor do contrato. </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do contrato comunicar ao gestor do contrato, em tempo hábil, o término do contrato sob sua responsabilidade, com vistas à renovação tempestiva ou à prorrogação contratual.</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1"/>
          <w:numId w:val="33"/>
        </w:numPr>
        <w:tabs>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Caso ocorram descumprimento das obrigações contratuais, o fiscal administrativo do contrato atuará tempestivamente na solução do problema, reportando ao gestor do contrato para que tome as providências cabíveis, quando ultrapassar a sua competência.</w:t>
      </w:r>
    </w:p>
    <w:p>
      <w:pPr>
        <w:pStyle w:val="PargrafodaLista"/>
        <w:numPr>
          <w:ilvl w:val="1"/>
          <w:numId w:val="33"/>
        </w:numPr>
        <w:tabs>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gestor do contrato coordenará a atualização do processo de acompanhamento e fiscalização do contrato contendo todos os registros formais da execução no histórico de gerenciamento do contrato, a exemplo da ordem de compra/nota de empenho, do registro de ocorrências, das alterações e das prorrogações contratuais, elaborando relatório com vistas à verificação da necessidade de adequações do contrato para fins de atendimento da finalidade da administração.</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fiscal administrativo do contrato comunicará ao gestor do contrato, em tempo hábil, o término do contrato sob sua responsabilidade, com vistas à tempestiva renovação ou prorrogação contratual.</w:t>
      </w:r>
    </w:p>
    <w:p>
      <w:pPr>
        <w:pStyle w:val="PargrafodaLista"/>
        <w:numPr>
          <w:ilvl w:val="1"/>
          <w:numId w:val="33"/>
        </w:numPr>
        <w:tabs>
          <w:tab w:val="left" w:pos="567"/>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gestor do contrato deverá elaborará relatório final com informações sobre a consecução dos objetivos que tenham justificado a contratação e eventuais condutas a serem adotadas para o aprimoramento das atividades da Administração.</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284"/>
          <w:tab w:val="center" w:pos="426"/>
        </w:tabs>
        <w:suppressAutoHyphens w:val="0"/>
        <w:spacing w:after="200" w:line="276" w:lineRule="auto"/>
        <w:ind w:left="0" w:firstLine="0"/>
        <w:jc w:val="both"/>
        <w:rPr>
          <w:rFonts w:ascii="Cambria" w:hAnsi="Cambria"/>
          <w:b/>
          <w:sz w:val="24"/>
          <w:szCs w:val="24"/>
        </w:rPr>
      </w:pPr>
      <w:r>
        <w:rPr>
          <w:rFonts w:ascii="Cambria" w:hAnsi="Cambria"/>
          <w:b/>
          <w:sz w:val="24"/>
          <w:szCs w:val="24"/>
        </w:rPr>
        <w:t xml:space="preserve"> DAS OBRIGAÇÕES E RESPONSABILIDADES:</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As partes se obrigam reciprocamente a cumprir integralmente as disposições do instrumento convocatório da Lei Nº. 14.133.</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 xml:space="preserve">São obrigações do </w:t>
      </w:r>
      <w:r>
        <w:rPr>
          <w:rFonts w:ascii="Cambria" w:hAnsi="Cambria"/>
          <w:b/>
          <w:sz w:val="24"/>
          <w:szCs w:val="24"/>
          <w:u w:val="single"/>
        </w:rPr>
        <w:t>contratante</w:t>
      </w:r>
      <w:r>
        <w:rPr>
          <w:rFonts w:ascii="Cambria" w:hAnsi="Cambria"/>
          <w:b/>
          <w:sz w:val="24"/>
          <w:szCs w:val="24"/>
        </w:rPr>
        <w:t xml:space="preserve">, nos termos do </w:t>
      </w:r>
      <w:hyperlink r:id="rId18" w:anchor="art92" w:history="1">
        <w:r>
          <w:rPr>
            <w:rFonts w:ascii="Cambria" w:hAnsi="Cambria"/>
            <w:b/>
            <w:sz w:val="24"/>
            <w:szCs w:val="24"/>
          </w:rPr>
          <w:t>art. 92, X, XI e XIV</w:t>
        </w:r>
      </w:hyperlink>
      <w:r>
        <w:rPr>
          <w:rFonts w:ascii="Cambria" w:hAnsi="Cambria"/>
          <w:b/>
          <w:sz w:val="24"/>
          <w:szCs w:val="24"/>
        </w:rPr>
        <w:t xml:space="preserve"> da Lei Federal n.º 14.133/21:</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Exigir o cumprimento de todas as obrigações assumidas pelo Contratado, de acordo com o contrato e seus anexos.</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Receber o objeto no prazo e condições estabelecidas no Termo de Referência.</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Notificar o Contratado, por escrito, sobre vícios, defeitos ou incorreções verificadas no objeto fornecido, para que seja por ele substituído, reparado ou corrigido, no total ou em parte, às suas expensas.</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Acompanhar e fiscalizar a execução do contrato e o cumprimento das obrigações pelo Contratado.</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Comunicar a empresa para emissão de Nota Fiscal no que pertine à parcela incontroversa da execução do objeto, para efeito de liquidação e pagamento, quando houver controvérsia sobre a execução do objeto, quanto à dimensão, qualidade e quantidade, conforme o </w:t>
      </w:r>
      <w:hyperlink r:id="rId19" w:anchor="art143" w:history="1">
        <w:r>
          <w:rPr>
            <w:rFonts w:ascii="Cambria" w:hAnsi="Cambria"/>
            <w:bCs/>
            <w:sz w:val="24"/>
            <w:szCs w:val="24"/>
          </w:rPr>
          <w:t>art. 143 da Lei nº 14.133, de 2021</w:t>
        </w:r>
      </w:hyperlink>
      <w:r>
        <w:rPr>
          <w:rFonts w:ascii="Cambria" w:hAnsi="Cambria"/>
          <w:bCs/>
          <w:sz w:val="24"/>
          <w:szCs w:val="24"/>
        </w:rPr>
        <w:t>.</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Efetuar o pagamento ao Contratado do valor correspondente ao fornecimento do objeto, no prazo, forma e condições estabelecidos no presente Contrato.</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Aplicar ao Contratado as sanções previstas na lei e neste Contrato.</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Cientificar o órgão de representação judicial do Município para adoção das medidas cabíveis quando do descumprimento de obrigações pelo Contratado.</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 A Administração terá o prazo de 01 (um) mês, nos termos do art. 123, parágrafo único, da Lei n.º 14.133, de 2021 e o art. 28, do Decreto n.º 11.246, de 2022, a contar da data do protocolo do requerimento para decidir, admitida a prorrogação motivada, por igual período. </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Responder eventuais pedidos de reestabelecimento do equilíbrio econômico-financeiro feitos pelo contratado no prazo máximo de 01 (um) mês, nos termos do art. 123, parágrafo único, da Lei n.º 14.133, de 2021.</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Notificar os emitentes das garantias quanto ao início de processo administrativo para apuração de descumprimento de cláusulas contratuais.</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sz w:val="24"/>
          <w:szCs w:val="24"/>
        </w:rPr>
        <w:t>Indicar o local e horário em que deverão ser entregues os produtos/materiais/equipamentos.</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sz w:val="24"/>
          <w:szCs w:val="24"/>
        </w:rPr>
        <w:t>Permitir ao pessoal da CONTRATADA acesso ao local da entrega desde que observadas as normas de segurança.</w:t>
      </w:r>
    </w:p>
    <w:p>
      <w:pPr>
        <w:pStyle w:val="PargrafodaLista"/>
        <w:tabs>
          <w:tab w:val="left" w:pos="567"/>
          <w:tab w:val="left" w:pos="709"/>
          <w:tab w:val="left" w:pos="851"/>
          <w:tab w:val="left" w:pos="2525"/>
          <w:tab w:val="center" w:pos="4873"/>
        </w:tabs>
        <w:ind w:left="0"/>
        <w:jc w:val="both"/>
        <w:rPr>
          <w:rFonts w:ascii="Cambria" w:hAnsi="Cambria"/>
          <w:bCs/>
          <w:sz w:val="24"/>
          <w:szCs w:val="24"/>
        </w:rPr>
      </w:pP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lastRenderedPageBreak/>
        <w:t xml:space="preserve">São obrigações do </w:t>
      </w:r>
      <w:r>
        <w:rPr>
          <w:rFonts w:ascii="Cambria" w:hAnsi="Cambria"/>
          <w:b/>
          <w:sz w:val="24"/>
          <w:szCs w:val="24"/>
          <w:u w:val="single"/>
        </w:rPr>
        <w:t>contratado</w:t>
      </w:r>
      <w:r>
        <w:rPr>
          <w:rFonts w:ascii="Cambria" w:hAnsi="Cambria"/>
          <w:b/>
          <w:sz w:val="24"/>
          <w:szCs w:val="24"/>
        </w:rPr>
        <w:t xml:space="preserve">, nos termos do </w:t>
      </w:r>
      <w:hyperlink r:id="rId20" w:anchor="art92" w:history="1">
        <w:r>
          <w:rPr>
            <w:rFonts w:ascii="Cambria" w:hAnsi="Cambria"/>
            <w:b/>
            <w:sz w:val="24"/>
            <w:szCs w:val="24"/>
          </w:rPr>
          <w:t>art. 92, XIV, XVI e XVII</w:t>
        </w:r>
      </w:hyperlink>
      <w:r>
        <w:rPr>
          <w:rFonts w:ascii="Cambria" w:hAnsi="Cambria"/>
          <w:b/>
          <w:sz w:val="24"/>
          <w:szCs w:val="24"/>
        </w:rPr>
        <w:t xml:space="preserve"> da Lei Federal n.º 14.133/21:</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Contratado deve cumprir todas as obrigações constantes do Contrato e em seus anexos, assumindo como exclusivamente seus os riscos e as despesas decorrentes da boa e perfeita execução do objeto, observando, ainda, as obrigações a seguir dispostas: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Entregar o objeto acompanhado do manual do usuário, com uma versão em português, e da relação da rede de assistência técnica autorizada, se for o caso.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Responsabilizar-se pelos vícios e danos decorrentes do objeto, de acordo com o Código de Defesa do Consumidor (</w:t>
      </w:r>
      <w:hyperlink r:id="rId21" w:history="1">
        <w:r>
          <w:rPr>
            <w:rFonts w:ascii="Cambria" w:hAnsi="Cambria"/>
            <w:sz w:val="24"/>
            <w:szCs w:val="24"/>
          </w:rPr>
          <w:t>Lei nº 8.078, de 1990</w:t>
        </w:r>
      </w:hyperlink>
      <w:r>
        <w:rPr>
          <w:rFonts w:ascii="Cambria" w:hAnsi="Cambria"/>
          <w:sz w:val="24"/>
          <w:szCs w:val="24"/>
        </w:rPr>
        <w:t>).</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Comunicar ao contratante, no prazo máximo de 24 (vinte e quatro) horas que antecede a data da entrega, os motivos que impossibilitem o cumprimento do prazo previsto, com a devida comprovação.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Atender às determinações regulares emitidas pelo fiscal ou gestor do contrato ou autoridade superior (</w:t>
      </w:r>
      <w:hyperlink r:id="rId22" w:anchor="art137" w:history="1">
        <w:r>
          <w:rPr>
            <w:rFonts w:ascii="Cambria" w:hAnsi="Cambria"/>
            <w:sz w:val="24"/>
            <w:szCs w:val="24"/>
          </w:rPr>
          <w:t>art. 137, II, da Lei n.º 14.133, de 2021</w:t>
        </w:r>
      </w:hyperlink>
      <w:r>
        <w:rPr>
          <w:rFonts w:ascii="Cambria" w:hAnsi="Cambria"/>
          <w:sz w:val="24"/>
          <w:szCs w:val="24"/>
        </w:rPr>
        <w:t>) e prestar todo esclarecimento ou informação por eles solicitados.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Reparar, corrigir, remover, reconstruir ou substituir, às suas expensas, no total ou em parte, no prazo fixado pelo fiscal do contrato, os bens nos quais se verificarem vícios, defeitos ou incorreções resultantes da execução ou dos materiais empregados.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Comunicar ao Fiscal do contrato, no prazo de 24 (vinte e quatro) horas, qualquer ocorrência anormal ou acidente que se verifique no local da entrega do objeto contratual.</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lastRenderedPageBreak/>
        <w:t>Paralisar, por determinação do contratante, qualquer atividade que não esteja sendo executada de acordo com a boa técnica ou que ponha em risco a segurança de pessoas ou bens de terceiros.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Manter durante toda a vigência do contrato, em compatibilidade com as obrigações assumidas, todas as condições exigidas para habilitação na licitação.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Cumprir, durante todo o período de execução do contrato, a reserva de cargos prevista em lei para pessoa com deficiência, para reabilitado da Previdência Social ou para aprendiz, bem como as reservas de cargos previstas na legislação (</w:t>
      </w:r>
      <w:hyperlink r:id="rId23" w:anchor="art116" w:history="1">
        <w:r>
          <w:rPr>
            <w:rFonts w:ascii="Cambria" w:hAnsi="Cambria"/>
            <w:sz w:val="24"/>
            <w:szCs w:val="24"/>
          </w:rPr>
          <w:t>art. 116, da Lei n.º 14.133, de 2021</w:t>
        </w:r>
      </w:hyperlink>
      <w:r>
        <w:rPr>
          <w:rFonts w:ascii="Cambria" w:hAnsi="Cambria"/>
          <w:sz w:val="24"/>
          <w:szCs w:val="24"/>
        </w:rPr>
        <w:t>).</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Comprovar a reserva de cargos a que se refere a cláusula acima, no prazo fixado pelo fiscal do contrato, com a indicação dos empregados que preencheram as referidas vagas (</w:t>
      </w:r>
      <w:hyperlink r:id="rId24" w:anchor="art116" w:history="1">
        <w:r>
          <w:rPr>
            <w:rFonts w:ascii="Cambria" w:hAnsi="Cambria"/>
            <w:sz w:val="24"/>
            <w:szCs w:val="24"/>
          </w:rPr>
          <w:t>art. 116, parágrafo único, da Lei n.º 14.133, de 2021</w:t>
        </w:r>
      </w:hyperlink>
      <w:r>
        <w:rPr>
          <w:rFonts w:ascii="Cambria" w:hAnsi="Cambria"/>
          <w:sz w:val="24"/>
          <w:szCs w:val="24"/>
        </w:rPr>
        <w:t>).</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Guardar sigilo sobre todas as informações obtidas em decorrência do cumprimento do contrato.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25" w:anchor="art124" w:history="1">
        <w:r>
          <w:rPr>
            <w:rFonts w:ascii="Cambria" w:hAnsi="Cambria"/>
            <w:sz w:val="24"/>
            <w:szCs w:val="24"/>
          </w:rPr>
          <w:t>art. 124, II, d, da Lei nº 14.133, de 2021</w:t>
        </w:r>
      </w:hyperlink>
      <w:r>
        <w:rPr>
          <w:rFonts w:ascii="Cambria" w:hAnsi="Cambria"/>
          <w:sz w:val="24"/>
          <w:szCs w:val="24"/>
        </w:rPr>
        <w:t>.</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Cumprir, além dos postulados legais vigentes de âmbito federal, estadual ou municipal, as normas de segurança do contratante.</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bookmarkStart w:id="45" w:name="_Ref118293001"/>
      <w:r>
        <w:rPr>
          <w:rFonts w:ascii="Cambria" w:hAnsi="Cambria"/>
          <w:sz w:val="24"/>
          <w:szCs w:val="24"/>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45"/>
      <w:r>
        <w:rPr>
          <w:rFonts w:ascii="Cambria" w:hAnsi="Cambria"/>
          <w:sz w:val="24"/>
          <w:szCs w:val="24"/>
        </w:rPr>
        <w:t>.</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Orientar e treinar seus empregados sobre os deveres previstos na Lei nº 13.709, de 14 de agosto de 2018, se for o caso, adotando medidas eficazes para proteção de dados pessoais a que tenha acesso por força da execução deste contrato.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Conduzir os trabalhos com estrita observância às normas da legislação pertinente, cumprindo as determinações dos Poderes Públicos, mantendo sempre limpo o local de execução do objeto e nas melhores condições de segurança, higiene e disciplina.</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Submeter previamente, por escrito, ao contratante, para análise e aprovação, quaisquer mudanças nos métodos executivos que fujam às especificações do memorial descritivo ou instrumento congênere.</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bookmarkStart w:id="46" w:name="_Ref118293030"/>
      <w:r>
        <w:rPr>
          <w:rFonts w:ascii="Cambria" w:hAnsi="Cambria"/>
          <w:sz w:val="24"/>
          <w:szCs w:val="24"/>
        </w:rPr>
        <w:t>Não permitir a utilização de qualquer trabalho do menor de dezesseis anos, exceto na condição de aprendiz para os maiores de quatorze anos, nem permitir a utilização do trabalho do menor de dezoito anos em trabalho noturno, perigoso ou insalubre.</w:t>
      </w:r>
      <w:bookmarkEnd w:id="46"/>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Assinar e devolver a ordem de compra ao Município de Miraíma/CE no prazo máximo de 24 (vinte e quatro) horas, a contar da data do seu recebimento.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lastRenderedPageBreak/>
        <w:t>Entregar os itens licitados no prazo máximo estabelecido no termo de referência, contados do recebimento da ordem de compra, nos locais determinados pelo órgão solicitante, observando rigorosamente as especificações contidas no termo de referência, nos anexos e disposições constantes de sua proposta de preços, assumindo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da celebração do contrato.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A reparar, corrigir, remover ou substituir, às suas expensas, no total ou em parte, o objeto do contrato em que se verificarem vícios, defeitos ou incorreções.</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Responsabilizar-se pelos danos causados diretamente à Administração ou a terceiros, decorrentes de sua culpa ou dolo na execução do contrato, não excluindo ou reduzindo essa responsabilidade a fiscalização ou o acompanhamento pelo órgão interessado.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Aceitar, nas mesmas condições contratuais, os acréscimos ou supressões que se fizerem no fornecimento, até 25% (vinte e cinco por cento) do valor inicial atualizado do contrato, na forma do art. 125º da Lei n.º 14.133/21.</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Prestar os esclarecimentos que forem solicitados pelo Município de Miraíma/CE, cujas reclamações se obriga a atender prontamente, bem como dar ciência ao mesmo, imediatamente e por escrito, de qualquer anormalidade que verificar quando da execução do contrato.</w:t>
      </w:r>
    </w:p>
    <w:p>
      <w:pPr>
        <w:pStyle w:val="PargrafodaLista"/>
        <w:numPr>
          <w:ilvl w:val="0"/>
          <w:numId w:val="42"/>
        </w:numPr>
        <w:tabs>
          <w:tab w:val="left" w:pos="284"/>
        </w:tabs>
        <w:suppressAutoHyphens w:val="0"/>
        <w:spacing w:after="200" w:line="276" w:lineRule="auto"/>
        <w:ind w:left="0" w:firstLine="0"/>
        <w:jc w:val="both"/>
        <w:rPr>
          <w:rFonts w:ascii="Cambria" w:hAnsi="Cambria"/>
          <w:sz w:val="24"/>
          <w:szCs w:val="24"/>
        </w:rPr>
      </w:pPr>
      <w:r>
        <w:rPr>
          <w:rFonts w:ascii="Cambria" w:hAnsi="Cambria"/>
          <w:sz w:val="24"/>
          <w:szCs w:val="24"/>
        </w:rPr>
        <w:t>No caso de constatação da inadequação do objeto licitado às normas e exigências especificadas no termo de referência, no edital ou na proposta de preços da CONTRATADA, a CONTRATANTE os recusará, devendo no prazo máximo de 24 (vinte e quatro) horas ser adequados às supracitadas condições.</w:t>
      </w:r>
    </w:p>
    <w:p>
      <w:pPr>
        <w:pStyle w:val="PargrafodaLista"/>
        <w:tabs>
          <w:tab w:val="left" w:pos="284"/>
        </w:tabs>
        <w:ind w:left="0"/>
        <w:jc w:val="both"/>
        <w:rPr>
          <w:rFonts w:ascii="Cambria" w:hAnsi="Cambria"/>
          <w:sz w:val="24"/>
          <w:szCs w:val="24"/>
          <w:highlight w:val="yellow"/>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INFRAÇÕES E SANÇÕES ADMINISTRATIVAS (</w:t>
      </w:r>
      <w:hyperlink r:id="rId26" w:anchor="art92" w:history="1">
        <w:r>
          <w:rPr>
            <w:rFonts w:ascii="Cambria" w:hAnsi="Cambria"/>
            <w:b/>
            <w:sz w:val="24"/>
            <w:szCs w:val="24"/>
          </w:rPr>
          <w:t>art. 92, XIV</w:t>
        </w:r>
      </w:hyperlink>
      <w:r>
        <w:rPr>
          <w:rFonts w:ascii="Cambria" w:hAnsi="Cambria"/>
          <w:b/>
          <w:sz w:val="24"/>
          <w:szCs w:val="24"/>
        </w:rPr>
        <w:t>)</w:t>
      </w: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 xml:space="preserve">Comete infração administrativa, nos termos da </w:t>
      </w:r>
      <w:hyperlink r:id="rId27" w:history="1">
        <w:r>
          <w:rPr>
            <w:rFonts w:ascii="Cambria" w:hAnsi="Cambria"/>
            <w:b/>
            <w:sz w:val="24"/>
            <w:szCs w:val="24"/>
          </w:rPr>
          <w:t>Lei nº 14.133, de 2021</w:t>
        </w:r>
      </w:hyperlink>
      <w:r>
        <w:rPr>
          <w:rFonts w:ascii="Cambria" w:hAnsi="Cambria"/>
          <w:b/>
          <w:sz w:val="24"/>
          <w:szCs w:val="24"/>
        </w:rPr>
        <w:t>, o licitante/adjudicatário que, com dolo ou culpa:</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47" w:name="_Ref114668085"/>
      <w:bookmarkStart w:id="48" w:name="_Hlk114652595"/>
      <w:r>
        <w:rPr>
          <w:rFonts w:ascii="Cambria" w:hAnsi="Cambria"/>
          <w:bCs/>
          <w:sz w:val="24"/>
          <w:szCs w:val="24"/>
        </w:rPr>
        <w:t>deixar de entregar a documentação exigida para o certame ou não entregar qualquer documento que tenha sido solicitado pelo/a pregoeiro/a durante o certame;</w:t>
      </w:r>
      <w:bookmarkEnd w:id="47"/>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49" w:name="_Ref114668108"/>
      <w:r>
        <w:rPr>
          <w:rFonts w:ascii="Cambria" w:hAnsi="Cambria"/>
          <w:bCs/>
          <w:sz w:val="24"/>
          <w:szCs w:val="24"/>
        </w:rPr>
        <w:t>Salvo em decorrência de fato superveniente devidamente justificado, não mantiver a proposta em especial quando:</w:t>
      </w:r>
      <w:bookmarkEnd w:id="49"/>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b.1) não enviar a proposta adequada ao último lance ofertado ou após a negociação;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b.2) recusar-se a enviar o detalhamento da proposta quando exigível;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b.3) pedir para ser desclassificado quando encerrada a etapa competitiva; ou </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b.4) deixar de apresentar amostra;</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 xml:space="preserve">b.5) apresentar proposta ou amostra em desacordo com as especificações do edital; </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0" w:name="_Ref114668139"/>
      <w:r>
        <w:rPr>
          <w:rFonts w:ascii="Cambria" w:hAnsi="Cambria"/>
          <w:bCs/>
          <w:sz w:val="24"/>
          <w:szCs w:val="24"/>
        </w:rPr>
        <w:t>não celebrar contrato ou não entregar a documentação exigida para a assinatura de tais instrumentos, quando convocado dentro do prazo de validade de sua proposta;</w:t>
      </w:r>
      <w:bookmarkEnd w:id="50"/>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recusar-se, sem justificativa, a assinar contrato, ou a aceitar ou retirar o instrumento equivalente no prazo estabelecido pela Administração;</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1" w:name="_Ref114668249"/>
      <w:r>
        <w:rPr>
          <w:rFonts w:ascii="Cambria" w:hAnsi="Cambria"/>
          <w:bCs/>
          <w:sz w:val="24"/>
          <w:szCs w:val="24"/>
        </w:rPr>
        <w:t>apresentar declaração ou documentação falsa exigida para o certame ou prestar declaração falsa durante a licitação</w:t>
      </w:r>
      <w:bookmarkEnd w:id="51"/>
      <w:r>
        <w:rPr>
          <w:rFonts w:ascii="Cambria" w:hAnsi="Cambria"/>
          <w:bCs/>
          <w:sz w:val="24"/>
          <w:szCs w:val="24"/>
        </w:rPr>
        <w:t>;</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2" w:name="_Ref114668245"/>
      <w:r>
        <w:rPr>
          <w:rFonts w:ascii="Cambria" w:hAnsi="Cambria"/>
          <w:bCs/>
          <w:sz w:val="24"/>
          <w:szCs w:val="24"/>
        </w:rPr>
        <w:t>fraudar a licitação</w:t>
      </w:r>
      <w:bookmarkEnd w:id="52"/>
      <w:r>
        <w:rPr>
          <w:rFonts w:ascii="Cambria" w:hAnsi="Cambria"/>
          <w:bCs/>
          <w:sz w:val="24"/>
          <w:szCs w:val="24"/>
        </w:rPr>
        <w:t>;</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3" w:name="_Ref114668247"/>
      <w:r>
        <w:rPr>
          <w:rFonts w:ascii="Cambria" w:hAnsi="Cambria"/>
          <w:bCs/>
          <w:sz w:val="24"/>
          <w:szCs w:val="24"/>
        </w:rPr>
        <w:t>comportar-se de modo inidôneo ou cometer fraude de qualquer natureza, em especial quando:</w:t>
      </w:r>
      <w:bookmarkEnd w:id="53"/>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agir em conluio ou em desconformidade com a lei; </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induzir deliberadamente a erro no julgamento; </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apresentar amostra falsificada ou deteriorada; </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4" w:name="_Ref114668251"/>
      <w:r>
        <w:rPr>
          <w:rFonts w:ascii="Cambria" w:hAnsi="Cambria"/>
          <w:bCs/>
          <w:sz w:val="24"/>
          <w:szCs w:val="24"/>
        </w:rPr>
        <w:t>praticar atos ilícitos com vistas a frustrar os objetivos da licitação</w:t>
      </w:r>
      <w:bookmarkEnd w:id="54"/>
      <w:r>
        <w:rPr>
          <w:rFonts w:ascii="Cambria" w:hAnsi="Cambria"/>
          <w:bCs/>
          <w:sz w:val="24"/>
          <w:szCs w:val="24"/>
        </w:rPr>
        <w:t>;</w:t>
      </w:r>
    </w:p>
    <w:p>
      <w:pPr>
        <w:pStyle w:val="PargrafodaLista"/>
        <w:numPr>
          <w:ilvl w:val="2"/>
          <w:numId w:val="37"/>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bookmarkStart w:id="55" w:name="_Ref114668252"/>
      <w:r>
        <w:rPr>
          <w:rFonts w:ascii="Cambria" w:hAnsi="Cambria"/>
          <w:bCs/>
          <w:sz w:val="24"/>
          <w:szCs w:val="24"/>
        </w:rPr>
        <w:t xml:space="preserve">praticar ato lesivo previsto no </w:t>
      </w:r>
      <w:hyperlink r:id="rId28" w:anchor="art5" w:history="1">
        <w:r>
          <w:rPr>
            <w:rFonts w:ascii="Cambria" w:hAnsi="Cambria"/>
            <w:bCs/>
            <w:sz w:val="24"/>
            <w:szCs w:val="24"/>
          </w:rPr>
          <w:t>art. 5º da Lei n.º 12.846, de 2013</w:t>
        </w:r>
      </w:hyperlink>
      <w:r>
        <w:rPr>
          <w:rFonts w:ascii="Cambria" w:hAnsi="Cambria"/>
          <w:bCs/>
          <w:sz w:val="24"/>
          <w:szCs w:val="24"/>
        </w:rPr>
        <w:t>.</w:t>
      </w:r>
      <w:bookmarkEnd w:id="55"/>
    </w:p>
    <w:bookmarkEnd w:id="48"/>
    <w:p>
      <w:pPr>
        <w:pStyle w:val="PargrafodaLista"/>
        <w:tabs>
          <w:tab w:val="left" w:pos="567"/>
          <w:tab w:val="left" w:pos="851"/>
          <w:tab w:val="left" w:pos="993"/>
          <w:tab w:val="center" w:pos="4873"/>
        </w:tabs>
        <w:ind w:left="0"/>
        <w:jc w:val="both"/>
        <w:rPr>
          <w:rFonts w:ascii="Cambria" w:hAnsi="Cambria"/>
          <w:b/>
          <w:sz w:val="24"/>
          <w:szCs w:val="24"/>
        </w:rPr>
      </w:pP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Serão aplicadas ao licitante/adjudicatário que incorrer nas infrações acima descritas, garantida a defesa prévia, sem prejuízo das responsabilidades civil e criminal, as seguintes sanções:</w:t>
      </w:r>
    </w:p>
    <w:p>
      <w:pPr>
        <w:pStyle w:val="PargrafodaLista"/>
        <w:numPr>
          <w:ilvl w:val="2"/>
          <w:numId w:val="40"/>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advertência; </w:t>
      </w:r>
    </w:p>
    <w:p>
      <w:pPr>
        <w:pStyle w:val="PargrafodaLista"/>
        <w:numPr>
          <w:ilvl w:val="2"/>
          <w:numId w:val="40"/>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multa;</w:t>
      </w:r>
    </w:p>
    <w:p>
      <w:pPr>
        <w:pStyle w:val="PargrafodaLista"/>
        <w:numPr>
          <w:ilvl w:val="2"/>
          <w:numId w:val="40"/>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impedimento de licitar e contratar e</w:t>
      </w:r>
    </w:p>
    <w:p>
      <w:pPr>
        <w:pStyle w:val="PargrafodaLista"/>
        <w:numPr>
          <w:ilvl w:val="2"/>
          <w:numId w:val="40"/>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declaração de inidoneidade para licitar ou contratar, enquanto perdurarem os motivos determinantes da punição ou até que seja promovida sua reabilitação perante a própria autoridade que aplicou a penalidade.</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Na aplicação das sanções serão considerados:</w:t>
      </w:r>
    </w:p>
    <w:p>
      <w:pPr>
        <w:pStyle w:val="PargrafodaLista"/>
        <w:numPr>
          <w:ilvl w:val="2"/>
          <w:numId w:val="43"/>
        </w:numPr>
        <w:tabs>
          <w:tab w:val="left" w:pos="284"/>
          <w:tab w:val="left" w:pos="851"/>
          <w:tab w:val="left" w:pos="1276"/>
          <w:tab w:val="left" w:pos="2525"/>
          <w:tab w:val="center" w:pos="4873"/>
        </w:tabs>
        <w:suppressAutoHyphens w:val="0"/>
        <w:spacing w:line="276" w:lineRule="auto"/>
        <w:jc w:val="both"/>
        <w:rPr>
          <w:rFonts w:ascii="Cambria" w:hAnsi="Cambria"/>
          <w:bCs/>
          <w:sz w:val="24"/>
          <w:szCs w:val="24"/>
        </w:rPr>
      </w:pPr>
      <w:r>
        <w:rPr>
          <w:rFonts w:ascii="Cambria" w:hAnsi="Cambria"/>
          <w:bCs/>
          <w:sz w:val="24"/>
          <w:szCs w:val="24"/>
        </w:rPr>
        <w:t>a natureza e a gravidade da infração cometida.</w:t>
      </w:r>
    </w:p>
    <w:p>
      <w:pPr>
        <w:pStyle w:val="PargrafodaLista"/>
        <w:numPr>
          <w:ilvl w:val="2"/>
          <w:numId w:val="43"/>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as peculiaridades do caso concreto</w:t>
      </w:r>
    </w:p>
    <w:p>
      <w:pPr>
        <w:pStyle w:val="PargrafodaLista"/>
        <w:numPr>
          <w:ilvl w:val="2"/>
          <w:numId w:val="43"/>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as circunstâncias agravantes ou atenuantes</w:t>
      </w:r>
    </w:p>
    <w:p>
      <w:pPr>
        <w:pStyle w:val="PargrafodaLista"/>
        <w:numPr>
          <w:ilvl w:val="2"/>
          <w:numId w:val="43"/>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os danos que dela provierem para a Administração Pública</w:t>
      </w:r>
    </w:p>
    <w:p>
      <w:pPr>
        <w:pStyle w:val="PargrafodaLista"/>
        <w:numPr>
          <w:ilvl w:val="2"/>
          <w:numId w:val="43"/>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implantação ou o aperfeiçoamento de programa de integridade, conforme normas e orientações dos órgãos de controle.</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Para fins de dosimetria e cálculo das penalidades acima impostas, estas tomarão como base os parâmetros delineados no tópico a seguir.</w:t>
      </w:r>
    </w:p>
    <w:p>
      <w:pPr>
        <w:pStyle w:val="PargrafodaLista"/>
        <w:tabs>
          <w:tab w:val="left" w:pos="567"/>
          <w:tab w:val="left" w:pos="709"/>
          <w:tab w:val="left" w:pos="851"/>
          <w:tab w:val="left" w:pos="2525"/>
          <w:tab w:val="center" w:pos="4873"/>
        </w:tabs>
        <w:ind w:left="0"/>
        <w:jc w:val="both"/>
        <w:rPr>
          <w:rFonts w:ascii="Cambria" w:hAnsi="Cambria"/>
          <w:b/>
          <w:sz w:val="24"/>
          <w:szCs w:val="24"/>
        </w:rPr>
      </w:pPr>
    </w:p>
    <w:p>
      <w:pPr>
        <w:pStyle w:val="PargrafodaLista"/>
        <w:numPr>
          <w:ilvl w:val="1"/>
          <w:numId w:val="33"/>
        </w:numPr>
        <w:tabs>
          <w:tab w:val="left" w:pos="567"/>
          <w:tab w:val="left" w:pos="2525"/>
          <w:tab w:val="center" w:pos="4873"/>
        </w:tabs>
        <w:suppressAutoHyphens w:val="0"/>
        <w:spacing w:line="276" w:lineRule="auto"/>
        <w:ind w:left="0" w:firstLine="0"/>
        <w:jc w:val="both"/>
        <w:rPr>
          <w:rFonts w:ascii="Cambria" w:hAnsi="Cambria"/>
          <w:b/>
          <w:sz w:val="24"/>
          <w:szCs w:val="24"/>
        </w:rPr>
      </w:pPr>
      <w:r>
        <w:rPr>
          <w:rFonts w:ascii="Cambria" w:hAnsi="Cambria"/>
          <w:b/>
          <w:sz w:val="24"/>
          <w:szCs w:val="24"/>
        </w:rPr>
        <w:t xml:space="preserve">Comete infração administrativa, nos termos da </w:t>
      </w:r>
      <w:hyperlink r:id="rId29" w:history="1">
        <w:r>
          <w:rPr>
            <w:rFonts w:ascii="Cambria" w:hAnsi="Cambria"/>
            <w:b/>
            <w:sz w:val="24"/>
            <w:szCs w:val="24"/>
          </w:rPr>
          <w:t>Lei nº 14.133, de 2021</w:t>
        </w:r>
      </w:hyperlink>
      <w:r>
        <w:rPr>
          <w:rFonts w:ascii="Cambria" w:hAnsi="Cambria"/>
          <w:b/>
          <w:sz w:val="24"/>
          <w:szCs w:val="24"/>
        </w:rPr>
        <w:t>, o contratado que, com dolo ou culpa:</w:t>
      </w:r>
    </w:p>
    <w:p>
      <w:pPr>
        <w:pStyle w:val="PargrafodaLista"/>
        <w:numPr>
          <w:ilvl w:val="2"/>
          <w:numId w:val="41"/>
        </w:numPr>
        <w:tabs>
          <w:tab w:val="left" w:pos="284"/>
          <w:tab w:val="left" w:pos="851"/>
          <w:tab w:val="left" w:pos="1276"/>
          <w:tab w:val="left" w:pos="2525"/>
          <w:tab w:val="center" w:pos="4873"/>
        </w:tabs>
        <w:suppressAutoHyphens w:val="0"/>
        <w:spacing w:line="276" w:lineRule="auto"/>
        <w:jc w:val="both"/>
        <w:rPr>
          <w:rFonts w:ascii="Cambria" w:hAnsi="Cambria"/>
          <w:bCs/>
          <w:sz w:val="24"/>
          <w:szCs w:val="24"/>
        </w:rPr>
      </w:pPr>
      <w:r>
        <w:rPr>
          <w:rFonts w:ascii="Cambria" w:hAnsi="Cambria"/>
          <w:bCs/>
          <w:sz w:val="24"/>
          <w:szCs w:val="24"/>
        </w:rPr>
        <w:t>der causa à inexecução parcial do contrato;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der causa à inexecução parcial do contrato que cause grave dano à Administração ou ao funcionamento dos serviços públicos ou ao interesse coletivo;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der causa à inexecução total do contrato;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ensejar o retardamento da execução ou da entrega do objeto da contratação sem motivo justificado;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apresentar documentação falsa ou prestar declaração falsa durante a execução do contrato;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praticar ato fraudulento na execução do contrato;</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comportar-se de modo inidôneo ou cometer fraude de qualquer natureza;</w:t>
      </w:r>
    </w:p>
    <w:p>
      <w:pPr>
        <w:pStyle w:val="PargrafodaLista"/>
        <w:numPr>
          <w:ilvl w:val="2"/>
          <w:numId w:val="41"/>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praticar ato lesivo previsto no </w:t>
      </w:r>
      <w:hyperlink r:id="rId30" w:anchor="art5" w:history="1">
        <w:r>
          <w:rPr>
            <w:rFonts w:ascii="Cambria" w:hAnsi="Cambria"/>
            <w:bCs/>
            <w:sz w:val="24"/>
            <w:szCs w:val="24"/>
          </w:rPr>
          <w:t>art. 5º da Lei nº 12.846, de 1º de agosto de 2013</w:t>
        </w:r>
      </w:hyperlink>
      <w:r>
        <w:rPr>
          <w:rFonts w:ascii="Cambria" w:hAnsi="Cambria"/>
          <w:bCs/>
          <w:sz w:val="24"/>
          <w:szCs w:val="24"/>
        </w:rPr>
        <w:t>.</w:t>
      </w:r>
    </w:p>
    <w:p>
      <w:pPr>
        <w:pStyle w:val="PargrafodaLista"/>
        <w:tabs>
          <w:tab w:val="left" w:pos="284"/>
          <w:tab w:val="left" w:pos="851"/>
          <w:tab w:val="left" w:pos="1276"/>
          <w:tab w:val="left" w:pos="2525"/>
          <w:tab w:val="center" w:pos="4873"/>
        </w:tabs>
        <w:ind w:left="0"/>
        <w:jc w:val="both"/>
        <w:rPr>
          <w:rFonts w:ascii="Cambria" w:hAnsi="Cambria"/>
          <w:bCs/>
          <w:sz w:val="24"/>
          <w:szCs w:val="24"/>
        </w:rPr>
      </w:pP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Serão aplicadas ao contratado que incorrer nas infrações acima descritas as seguintes sanções:</w:t>
      </w:r>
    </w:p>
    <w:p>
      <w:pPr>
        <w:pStyle w:val="PargrafodaLista"/>
        <w:numPr>
          <w:ilvl w:val="2"/>
          <w:numId w:val="38"/>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
          <w:sz w:val="24"/>
          <w:szCs w:val="24"/>
        </w:rPr>
        <w:t>Advertência</w:t>
      </w:r>
      <w:r>
        <w:rPr>
          <w:rFonts w:ascii="Cambria" w:hAnsi="Cambria"/>
          <w:bCs/>
          <w:sz w:val="24"/>
          <w:szCs w:val="24"/>
        </w:rPr>
        <w:t>, quando o contratado der causa à inexecução parcial do contrato, sempre que não se justificar a imposição de penalidade mais grave (</w:t>
      </w:r>
      <w:hyperlink r:id="rId31" w:anchor="art156§2" w:history="1">
        <w:r>
          <w:rPr>
            <w:rFonts w:ascii="Cambria" w:hAnsi="Cambria"/>
            <w:bCs/>
            <w:sz w:val="24"/>
            <w:szCs w:val="24"/>
          </w:rPr>
          <w:t xml:space="preserve">art. 156, §2º, da </w:t>
        </w:r>
        <w:bookmarkStart w:id="56" w:name="_Hlk114504069"/>
        <w:r>
          <w:rPr>
            <w:rFonts w:ascii="Cambria" w:hAnsi="Cambria"/>
            <w:bCs/>
            <w:sz w:val="24"/>
            <w:szCs w:val="24"/>
          </w:rPr>
          <w:t>Lei nº 14.133, de 2021</w:t>
        </w:r>
        <w:bookmarkEnd w:id="56"/>
      </w:hyperlink>
      <w:r>
        <w:rPr>
          <w:rFonts w:ascii="Cambria" w:hAnsi="Cambria"/>
          <w:bCs/>
          <w:sz w:val="24"/>
          <w:szCs w:val="24"/>
        </w:rPr>
        <w:t>);</w:t>
      </w:r>
    </w:p>
    <w:p>
      <w:pPr>
        <w:pStyle w:val="PargrafodaLista"/>
        <w:numPr>
          <w:ilvl w:val="2"/>
          <w:numId w:val="38"/>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
          <w:sz w:val="24"/>
          <w:szCs w:val="24"/>
        </w:rPr>
        <w:t>Impedimento de licitar e contratar</w:t>
      </w:r>
      <w:r>
        <w:rPr>
          <w:rFonts w:ascii="Cambria" w:hAnsi="Cambria"/>
          <w:bCs/>
          <w:sz w:val="24"/>
          <w:szCs w:val="24"/>
        </w:rPr>
        <w:t>, quando praticadas as condutas descritas nas alíneas “b”, “c” e “d” do subitem acima, sempre que não se justificar a imposição de penalidade mais grave (</w:t>
      </w:r>
      <w:hyperlink r:id="rId32" w:anchor="art156§4" w:history="1">
        <w:r>
          <w:rPr>
            <w:rFonts w:ascii="Cambria" w:hAnsi="Cambria"/>
            <w:bCs/>
            <w:sz w:val="24"/>
            <w:szCs w:val="24"/>
          </w:rPr>
          <w:t>art. 156, § 4º, da Lei nº 14.133, de 2021</w:t>
        </w:r>
      </w:hyperlink>
      <w:r>
        <w:rPr>
          <w:rFonts w:ascii="Cambria" w:hAnsi="Cambria"/>
          <w:bCs/>
          <w:sz w:val="24"/>
          <w:szCs w:val="24"/>
        </w:rPr>
        <w:t>);</w:t>
      </w:r>
    </w:p>
    <w:p>
      <w:pPr>
        <w:pStyle w:val="PargrafodaLista"/>
        <w:numPr>
          <w:ilvl w:val="2"/>
          <w:numId w:val="38"/>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
          <w:sz w:val="24"/>
          <w:szCs w:val="24"/>
        </w:rPr>
        <w:t>Declaração de inidoneidade para licitar e contratar</w:t>
      </w:r>
      <w:r>
        <w:rPr>
          <w:rFonts w:ascii="Cambria" w:hAnsi="Cambria"/>
          <w:bCs/>
          <w:sz w:val="24"/>
          <w:szCs w:val="24"/>
        </w:rPr>
        <w:t>, quando praticadas as condutas descritas nas alíneas “e”, “f”, “g” e “h” do subitem acima, bem como nas alíneas “b”, “c” e “d”, que justifiquem a imposição de penalidade mais grave (</w:t>
      </w:r>
      <w:hyperlink r:id="rId33" w:anchor="art156§5" w:history="1">
        <w:r>
          <w:rPr>
            <w:rFonts w:ascii="Cambria" w:hAnsi="Cambria"/>
            <w:bCs/>
            <w:sz w:val="24"/>
            <w:szCs w:val="24"/>
          </w:rPr>
          <w:t>art. 156, §5º, da Lei nº 14.133, de 2021</w:t>
        </w:r>
      </w:hyperlink>
      <w:r>
        <w:rPr>
          <w:rFonts w:ascii="Cambria" w:hAnsi="Cambria"/>
          <w:bCs/>
          <w:sz w:val="24"/>
          <w:szCs w:val="24"/>
        </w:rPr>
        <w:t>).</w:t>
      </w:r>
    </w:p>
    <w:p>
      <w:pPr>
        <w:pStyle w:val="PargrafodaLista"/>
        <w:numPr>
          <w:ilvl w:val="2"/>
          <w:numId w:val="38"/>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
          <w:sz w:val="24"/>
          <w:szCs w:val="24"/>
        </w:rPr>
        <w:t>Multa</w:t>
      </w:r>
      <w:r>
        <w:rPr>
          <w:rFonts w:ascii="Cambria" w:hAnsi="Cambria"/>
          <w:bCs/>
          <w:sz w:val="24"/>
          <w:szCs w:val="24"/>
        </w:rPr>
        <w:t>:</w:t>
      </w:r>
    </w:p>
    <w:p>
      <w:pPr>
        <w:tabs>
          <w:tab w:val="left" w:pos="284"/>
          <w:tab w:val="left" w:pos="851"/>
          <w:tab w:val="left" w:pos="1276"/>
          <w:tab w:val="left" w:pos="2525"/>
          <w:tab w:val="center" w:pos="4873"/>
        </w:tabs>
        <w:jc w:val="both"/>
        <w:rPr>
          <w:rFonts w:ascii="Cambria" w:hAnsi="Cambria"/>
          <w:bCs/>
          <w:sz w:val="24"/>
          <w:szCs w:val="24"/>
          <w:lang w:eastAsia="en-US"/>
        </w:rPr>
      </w:pPr>
      <w:r>
        <w:rPr>
          <w:rFonts w:ascii="Cambria" w:hAnsi="Cambria"/>
          <w:bCs/>
          <w:sz w:val="24"/>
          <w:szCs w:val="24"/>
          <w:lang w:eastAsia="en-US"/>
        </w:rPr>
        <w:t>d.1) Moratória de 1% (um por cento) por dia de atraso injustificado sobre o valor da parcela inadimplida, até o limite de 30 (trinta) dias;</w:t>
      </w:r>
    </w:p>
    <w:p>
      <w:pPr>
        <w:pStyle w:val="PargrafodaLista"/>
        <w:tabs>
          <w:tab w:val="left" w:pos="284"/>
          <w:tab w:val="left" w:pos="851"/>
          <w:tab w:val="left" w:pos="1276"/>
          <w:tab w:val="left" w:pos="2525"/>
          <w:tab w:val="center" w:pos="4873"/>
        </w:tabs>
        <w:ind w:left="0"/>
        <w:jc w:val="both"/>
        <w:rPr>
          <w:rFonts w:ascii="Cambria" w:hAnsi="Cambria"/>
          <w:bCs/>
          <w:sz w:val="24"/>
          <w:szCs w:val="24"/>
        </w:rPr>
      </w:pPr>
      <w:r>
        <w:rPr>
          <w:rFonts w:ascii="Cambria" w:hAnsi="Cambria"/>
          <w:bCs/>
          <w:sz w:val="24"/>
          <w:szCs w:val="24"/>
        </w:rPr>
        <w:t>d.2) Compensatória de 30% (trinta por cento) sobre o valor total do contrato, no caso de inexecução total do objeto.</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aplicação das sanções previstas neste Contrato não exclui, em hipótese alguma, a obrigação de reparação integral do dano causado ao Contratante (</w:t>
      </w:r>
      <w:hyperlink r:id="rId34" w:anchor="art156§9" w:history="1">
        <w:r>
          <w:rPr>
            <w:rFonts w:ascii="Cambria" w:hAnsi="Cambria"/>
            <w:bCs/>
            <w:sz w:val="24"/>
            <w:szCs w:val="24"/>
          </w:rPr>
          <w:t>art. 156, §9º, da Lei nº 14.133, de 2021</w:t>
        </w:r>
      </w:hyperlink>
      <w:r>
        <w:rPr>
          <w:rFonts w:ascii="Cambria" w:hAnsi="Cambria"/>
          <w:bCs/>
          <w:sz w:val="24"/>
          <w:szCs w:val="24"/>
        </w:rPr>
        <w:t>)</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Todas as sanções previstas neste Contrato poderão ser aplicadas cumulativamente com a multa (</w:t>
      </w:r>
      <w:hyperlink r:id="rId35" w:anchor="art156§7" w:history="1">
        <w:r>
          <w:rPr>
            <w:rFonts w:ascii="Cambria" w:hAnsi="Cambria"/>
            <w:bCs/>
            <w:sz w:val="24"/>
            <w:szCs w:val="24"/>
          </w:rPr>
          <w:t>art. 156, §7º, da Lei nº 14.133, de 2021</w:t>
        </w:r>
      </w:hyperlink>
      <w:r>
        <w:rPr>
          <w:rFonts w:ascii="Cambria" w:hAnsi="Cambria"/>
          <w:bCs/>
          <w:sz w:val="24"/>
          <w:szCs w:val="24"/>
        </w:rPr>
        <w:t>).</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Antes da aplicação da multa será facultada a defesa do interessado no prazo de 05 (CINCO) DIAS úteis, contado da data de sua intimação (</w:t>
      </w:r>
      <w:hyperlink r:id="rId36" w:anchor="art157" w:history="1">
        <w:r>
          <w:rPr>
            <w:rFonts w:ascii="Cambria" w:hAnsi="Cambria"/>
            <w:bCs/>
            <w:sz w:val="24"/>
            <w:szCs w:val="24"/>
          </w:rPr>
          <w:t>art. 157, da Lei nº 14.133, de 2021</w:t>
        </w:r>
      </w:hyperlink>
      <w:r>
        <w:rPr>
          <w:rFonts w:ascii="Cambria" w:hAnsi="Cambria"/>
          <w:bCs/>
          <w:sz w:val="24"/>
          <w:szCs w:val="24"/>
        </w:rPr>
        <w:t>)</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7" w:anchor="art156§8" w:history="1">
        <w:r>
          <w:rPr>
            <w:rFonts w:ascii="Cambria" w:hAnsi="Cambria"/>
            <w:bCs/>
            <w:sz w:val="24"/>
            <w:szCs w:val="24"/>
          </w:rPr>
          <w:t>art. 156, §8º, da Lei nº 14.133, de 2021</w:t>
        </w:r>
      </w:hyperlink>
      <w:r>
        <w:rPr>
          <w:rFonts w:ascii="Cambria" w:hAnsi="Cambria"/>
          <w:bCs/>
          <w:sz w:val="24"/>
          <w:szCs w:val="24"/>
        </w:rPr>
        <w:t>).</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Previamente ao encaminhamento à cobrança judicial, a multa poderá ser recolhida administrativamente no prazo máximo de 30 (trinta) dias, a contar da data do recebimento da comunicação enviada pela autoridade competente.</w:t>
      </w:r>
      <w:bookmarkStart w:id="57" w:name="_Hlk78351618"/>
      <w:bookmarkEnd w:id="57"/>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 aplicação das sanções realizar-se-á em processo administrativo que assegure o contraditório e a ampla defesa ao Contratado, observando-se o procedimento previsto no caput e parágrafos do </w:t>
      </w:r>
      <w:hyperlink r:id="rId38" w:anchor="art158" w:history="1">
        <w:r>
          <w:rPr>
            <w:rFonts w:ascii="Cambria" w:hAnsi="Cambria"/>
            <w:bCs/>
            <w:sz w:val="24"/>
            <w:szCs w:val="24"/>
          </w:rPr>
          <w:t>art. 158 da Lei nº 14.133, de 2021</w:t>
        </w:r>
      </w:hyperlink>
      <w:r>
        <w:rPr>
          <w:rFonts w:ascii="Cambria" w:hAnsi="Cambria"/>
          <w:bCs/>
          <w:sz w:val="24"/>
          <w:szCs w:val="24"/>
        </w:rPr>
        <w:t xml:space="preserve">, para as penalidades de </w:t>
      </w:r>
      <w:r>
        <w:rPr>
          <w:rFonts w:ascii="Cambria" w:hAnsi="Cambria"/>
          <w:bCs/>
          <w:sz w:val="24"/>
          <w:szCs w:val="24"/>
        </w:rPr>
        <w:lastRenderedPageBreak/>
        <w:t>impedimento de licitar e contratar e de declaração de inidoneidade para licitar ou contratar.</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Na aplicação das sanções serão considerados (</w:t>
      </w:r>
      <w:hyperlink r:id="rId39" w:anchor="art156§1" w:history="1">
        <w:r>
          <w:rPr>
            <w:rFonts w:ascii="Cambria" w:hAnsi="Cambria"/>
            <w:bCs/>
            <w:sz w:val="24"/>
            <w:szCs w:val="24"/>
          </w:rPr>
          <w:t>art. 156, §1º, da Lei nº 14.133, de 2021</w:t>
        </w:r>
      </w:hyperlink>
      <w:r>
        <w:rPr>
          <w:rFonts w:ascii="Cambria" w:hAnsi="Cambria"/>
          <w:bCs/>
          <w:sz w:val="24"/>
          <w:szCs w:val="24"/>
        </w:rPr>
        <w:t>):</w:t>
      </w:r>
    </w:p>
    <w:p>
      <w:pPr>
        <w:pStyle w:val="PargrafodaLista"/>
        <w:numPr>
          <w:ilvl w:val="2"/>
          <w:numId w:val="39"/>
        </w:numPr>
        <w:tabs>
          <w:tab w:val="left" w:pos="284"/>
          <w:tab w:val="left" w:pos="851"/>
          <w:tab w:val="left" w:pos="1276"/>
          <w:tab w:val="left" w:pos="2525"/>
          <w:tab w:val="center" w:pos="4873"/>
        </w:tabs>
        <w:suppressAutoHyphens w:val="0"/>
        <w:spacing w:line="276" w:lineRule="auto"/>
        <w:jc w:val="both"/>
        <w:rPr>
          <w:rFonts w:ascii="Cambria" w:hAnsi="Cambria"/>
          <w:bCs/>
          <w:sz w:val="24"/>
          <w:szCs w:val="24"/>
        </w:rPr>
      </w:pPr>
      <w:r>
        <w:rPr>
          <w:rFonts w:ascii="Cambria" w:hAnsi="Cambria"/>
          <w:bCs/>
          <w:sz w:val="24"/>
          <w:szCs w:val="24"/>
        </w:rPr>
        <w:t>a natureza e a gravidade da infração cometida;</w:t>
      </w:r>
    </w:p>
    <w:p>
      <w:pPr>
        <w:pStyle w:val="PargrafodaLista"/>
        <w:numPr>
          <w:ilvl w:val="2"/>
          <w:numId w:val="39"/>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as peculiaridades do caso concreto;</w:t>
      </w:r>
    </w:p>
    <w:p>
      <w:pPr>
        <w:pStyle w:val="PargrafodaLista"/>
        <w:numPr>
          <w:ilvl w:val="2"/>
          <w:numId w:val="39"/>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as circunstâncias agravantes ou atenuantes;</w:t>
      </w:r>
    </w:p>
    <w:p>
      <w:pPr>
        <w:pStyle w:val="PargrafodaLista"/>
        <w:numPr>
          <w:ilvl w:val="2"/>
          <w:numId w:val="39"/>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os danos que dela provierem para o Contratante;</w:t>
      </w:r>
    </w:p>
    <w:p>
      <w:pPr>
        <w:pStyle w:val="PargrafodaLista"/>
        <w:numPr>
          <w:ilvl w:val="2"/>
          <w:numId w:val="39"/>
        </w:numPr>
        <w:tabs>
          <w:tab w:val="left" w:pos="284"/>
          <w:tab w:val="left" w:pos="851"/>
          <w:tab w:val="left" w:pos="1276"/>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implantação ou o aperfeiçoamento de programa de integridade, conforme normas e orientações dos órgãos de controle.</w:t>
      </w:r>
    </w:p>
    <w:p>
      <w:pPr>
        <w:pStyle w:val="PargrafodaLista"/>
        <w:numPr>
          <w:ilvl w:val="2"/>
          <w:numId w:val="33"/>
        </w:numPr>
        <w:tabs>
          <w:tab w:val="left" w:pos="567"/>
          <w:tab w:val="left" w:pos="709"/>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Os atos previstos como infrações administrativas na </w:t>
      </w:r>
      <w:hyperlink r:id="rId40" w:history="1">
        <w:r>
          <w:rPr>
            <w:rFonts w:ascii="Cambria" w:hAnsi="Cambria"/>
            <w:bCs/>
            <w:sz w:val="24"/>
            <w:szCs w:val="24"/>
          </w:rPr>
          <w:t>Lei nº 14.133, de 2021</w:t>
        </w:r>
      </w:hyperlink>
      <w:r>
        <w:rPr>
          <w:rFonts w:ascii="Cambria" w:hAnsi="Cambria"/>
          <w:bCs/>
          <w:sz w:val="24"/>
          <w:szCs w:val="24"/>
        </w:rPr>
        <w:t xml:space="preserve">, ou em outras leis de licitações e contratos da Administração Pública que também sejam tipificados como atos lesivos na </w:t>
      </w:r>
      <w:hyperlink r:id="rId41" w:history="1">
        <w:r>
          <w:rPr>
            <w:rFonts w:ascii="Cambria" w:hAnsi="Cambria"/>
            <w:bCs/>
            <w:sz w:val="24"/>
            <w:szCs w:val="24"/>
          </w:rPr>
          <w:t>Lei nº 12.846, de 2013</w:t>
        </w:r>
      </w:hyperlink>
      <w:r>
        <w:rPr>
          <w:rFonts w:ascii="Cambria" w:hAnsi="Cambria"/>
          <w:bCs/>
          <w:sz w:val="24"/>
          <w:szCs w:val="24"/>
        </w:rPr>
        <w:t>, serão apurados e julgados conjuntamente, nos mesmos autos, observados o rito procedimental e autoridade competente definidos na referida Lei (</w:t>
      </w:r>
      <w:hyperlink r:id="rId42" w:history="1">
        <w:r>
          <w:rPr>
            <w:rFonts w:ascii="Cambria" w:hAnsi="Cambria"/>
            <w:bCs/>
            <w:sz w:val="24"/>
            <w:szCs w:val="24"/>
          </w:rPr>
          <w:t>art. 159</w:t>
        </w:r>
      </w:hyperlink>
      <w:r>
        <w:rPr>
          <w:rFonts w:ascii="Cambria" w:hAnsi="Cambria"/>
          <w:bCs/>
          <w:sz w:val="24"/>
          <w:szCs w:val="24"/>
        </w:rPr>
        <w:t>).</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3" w:anchor="art160" w:history="1">
        <w:r>
          <w:rPr>
            <w:rFonts w:ascii="Cambria" w:hAnsi="Cambria"/>
            <w:bCs/>
            <w:sz w:val="24"/>
            <w:szCs w:val="24"/>
          </w:rPr>
          <w:t>art. 160, da Lei nº 14.133, de 2021</w:t>
        </w:r>
      </w:hyperlink>
      <w:r>
        <w:rPr>
          <w:rFonts w:ascii="Cambria" w:hAnsi="Cambria"/>
          <w:bCs/>
          <w:sz w:val="24"/>
          <w:szCs w:val="24"/>
        </w:rPr>
        <w:t>).</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 O Contratante deverá, no prazo máximo 05 (CINCO)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44" w:anchor="art161" w:history="1">
        <w:r>
          <w:rPr>
            <w:rFonts w:ascii="Cambria" w:hAnsi="Cambria"/>
            <w:bCs/>
            <w:sz w:val="24"/>
            <w:szCs w:val="24"/>
          </w:rPr>
          <w:t>Art. 161, da Lei nº 14.133, de 2021</w:t>
        </w:r>
      </w:hyperlink>
      <w:r>
        <w:rPr>
          <w:rFonts w:ascii="Cambria" w:hAnsi="Cambria"/>
          <w:bCs/>
          <w:sz w:val="24"/>
          <w:szCs w:val="24"/>
        </w:rPr>
        <w:t>).</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As sanções de impedimento de licitar e contratar e declaração de inidoneidade para licitar ou contratar são passíveis de reabilitação na forma do </w:t>
      </w:r>
      <w:hyperlink r:id="rId45" w:anchor="163" w:history="1">
        <w:r>
          <w:rPr>
            <w:rFonts w:ascii="Cambria" w:hAnsi="Cambria"/>
            <w:bCs/>
            <w:sz w:val="24"/>
            <w:szCs w:val="24"/>
          </w:rPr>
          <w:t>art. 163 da Lei nº 14.133/21</w:t>
        </w:r>
      </w:hyperlink>
      <w:r>
        <w:rPr>
          <w:rFonts w:ascii="Cambria" w:hAnsi="Cambria"/>
          <w:bCs/>
          <w:sz w:val="24"/>
          <w:szCs w:val="24"/>
        </w:rPr>
        <w:t>.</w:t>
      </w:r>
    </w:p>
    <w:p>
      <w:pPr>
        <w:pStyle w:val="PargrafodaLista"/>
        <w:numPr>
          <w:ilvl w:val="2"/>
          <w:numId w:val="33"/>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w:t>
      </w:r>
    </w:p>
    <w:p>
      <w:pPr>
        <w:pStyle w:val="PargrafodaLista"/>
        <w:tabs>
          <w:tab w:val="left" w:pos="567"/>
          <w:tab w:val="left" w:pos="709"/>
          <w:tab w:val="left" w:pos="851"/>
          <w:tab w:val="left" w:pos="2525"/>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DA EXTINÇÃO CONTRATUAL (</w:t>
      </w:r>
      <w:hyperlink r:id="rId46" w:anchor="art92" w:history="1">
        <w:r>
          <w:rPr>
            <w:rFonts w:ascii="Cambria" w:hAnsi="Cambria"/>
            <w:b/>
            <w:sz w:val="24"/>
            <w:szCs w:val="24"/>
          </w:rPr>
          <w:t>art. 92, XIX</w:t>
        </w:r>
      </w:hyperlink>
      <w:r>
        <w:rPr>
          <w:rFonts w:ascii="Cambria" w:hAnsi="Cambria"/>
          <w:b/>
          <w:sz w:val="24"/>
          <w:szCs w:val="24"/>
        </w:rPr>
        <w:t>)</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lastRenderedPageBreak/>
        <w:t>O contrato se extingue quando vencido o prazo nele estipulado, independentemente de terem sido cumpridas ou não as obrigações de ambas as partes contraentes.</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contrato pode ser extinto antes do prazo nele fixado, sem ônus para o Contratante, quando esta não dispuser de créditos orçamentários para sua continuidade ou quando entender que o contrato não mais lhe oferece vantagem.</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extinção nesta hipótese ocorrerá na próxima data de aniversário do contrato, desde que haja a notificação do contratado pelo contratante nesse sentido com pelo menos 2 (dois) meses de antecedência desse dia.</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Caso a notificação da não-continuidade do contrato de que trata este subitem ocorra com menos de 2 (dois) meses da data de aniversário, a extinção contratual ocorrerá após 2 (dois) meses da data da comunicação.</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 contrato pode ser extinto antes de cumpridas as obrigações nele estipuladas, ou antes do prazo nele fixado, por algum dos motivos previstos no </w:t>
      </w:r>
      <w:hyperlink r:id="rId47" w:anchor="art137" w:history="1">
        <w:r>
          <w:rPr>
            <w:rFonts w:ascii="Cambria" w:hAnsi="Cambria"/>
            <w:bCs/>
            <w:sz w:val="24"/>
            <w:szCs w:val="24"/>
          </w:rPr>
          <w:t>artigo 137 da Lei nº 14.133/21</w:t>
        </w:r>
      </w:hyperlink>
      <w:r>
        <w:rPr>
          <w:rFonts w:ascii="Cambria" w:hAnsi="Cambria"/>
          <w:bCs/>
          <w:sz w:val="24"/>
          <w:szCs w:val="24"/>
        </w:rPr>
        <w:t>, bem como amigavelmente, assegurados o contraditório e a ampla defesa.</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Nesta hipótese, aplicam-se também os </w:t>
      </w:r>
      <w:hyperlink r:id="rId48" w:anchor="art138" w:history="1">
        <w:r>
          <w:rPr>
            <w:rFonts w:ascii="Cambria" w:hAnsi="Cambria"/>
            <w:bCs/>
            <w:sz w:val="24"/>
            <w:szCs w:val="24"/>
          </w:rPr>
          <w:t>artigos 138 e 139 da mesma Lei</w:t>
        </w:r>
      </w:hyperlink>
      <w:r>
        <w:rPr>
          <w:rFonts w:ascii="Cambria" w:hAnsi="Cambria"/>
          <w:bCs/>
          <w:sz w:val="24"/>
          <w:szCs w:val="24"/>
        </w:rPr>
        <w:t>.</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alteração social ou a modificação da finalidade ou da estrutura da empresa não ensejará a rescisão se não restringir sua capacidade de concluir o contrato.</w:t>
      </w:r>
    </w:p>
    <w:p>
      <w:pPr>
        <w:pStyle w:val="PargrafodaLista"/>
        <w:numPr>
          <w:ilvl w:val="3"/>
          <w:numId w:val="36"/>
        </w:numPr>
        <w:tabs>
          <w:tab w:val="left" w:pos="567"/>
          <w:tab w:val="left" w:pos="851"/>
          <w:tab w:val="left" w:pos="993"/>
          <w:tab w:val="left" w:pos="2525"/>
          <w:tab w:val="left" w:pos="3119"/>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Se a operação implicar mudança da pessoa jurídica contratada, deverá ser formalizado termo aditivo para alteração subjetiva.</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O termo de rescisão, sempre que possível, será precedido:</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Balanço dos eventos contratuais já cumpridos ou parcialmente cumpridos;</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Relação dos pagamentos já efetuados e ainda devidos;</w:t>
      </w:r>
    </w:p>
    <w:p>
      <w:pPr>
        <w:pStyle w:val="PargrafodaLista"/>
        <w:numPr>
          <w:ilvl w:val="2"/>
          <w:numId w:val="36"/>
        </w:numPr>
        <w:tabs>
          <w:tab w:val="left" w:pos="567"/>
          <w:tab w:val="left" w:pos="709"/>
          <w:tab w:val="left" w:pos="851"/>
          <w:tab w:val="left" w:pos="2525"/>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Indenizações e multas.</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extinção do contrato não configura óbice para o reconhecimento do desequilíbrio econômico-financeiro, hipótese em que será concedida indenização por meio de termo indenizatório (</w:t>
      </w:r>
      <w:hyperlink r:id="rId49" w:anchor="art131" w:history="1">
        <w:r>
          <w:rPr>
            <w:rFonts w:ascii="Cambria" w:hAnsi="Cambria"/>
            <w:bCs/>
            <w:sz w:val="24"/>
            <w:szCs w:val="24"/>
          </w:rPr>
          <w:t>art. 131, caput, da Lei n.º 14.133, de 2021</w:t>
        </w:r>
      </w:hyperlink>
      <w:r>
        <w:rPr>
          <w:rFonts w:ascii="Cambria" w:hAnsi="Cambria"/>
          <w:bCs/>
          <w:sz w:val="24"/>
          <w:szCs w:val="24"/>
        </w:rPr>
        <w:t xml:space="preserve">). </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A dotação relativa aos exercícios financeiros subsequentes será indicada após aprovação da Lei Orçamentária respectiva e liberação dos créditos correspondentes, mediante apostilamento.</w:t>
      </w:r>
    </w:p>
    <w:p>
      <w:pPr>
        <w:pStyle w:val="PargrafodaLista"/>
        <w:tabs>
          <w:tab w:val="left" w:pos="567"/>
          <w:tab w:val="left" w:pos="851"/>
          <w:tab w:val="left" w:pos="993"/>
          <w:tab w:val="center" w:pos="4873"/>
        </w:tabs>
        <w:ind w:left="0"/>
        <w:jc w:val="both"/>
        <w:rPr>
          <w:rFonts w:ascii="Cambria" w:hAnsi="Cambria"/>
          <w:bCs/>
          <w:sz w:val="24"/>
          <w:szCs w:val="24"/>
        </w:rPr>
      </w:pPr>
    </w:p>
    <w:p>
      <w:pPr>
        <w:pStyle w:val="PargrafodaLista"/>
        <w:numPr>
          <w:ilvl w:val="0"/>
          <w:numId w:val="33"/>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F2F2F2" w:themeFill="background1" w:themeFillShade="F2"/>
        <w:tabs>
          <w:tab w:val="left" w:pos="426"/>
          <w:tab w:val="left" w:pos="2525"/>
          <w:tab w:val="center" w:pos="4873"/>
        </w:tabs>
        <w:suppressAutoHyphens w:val="0"/>
        <w:spacing w:after="200" w:line="276" w:lineRule="auto"/>
        <w:ind w:left="0" w:firstLine="0"/>
        <w:jc w:val="both"/>
        <w:rPr>
          <w:rFonts w:ascii="Cambria" w:hAnsi="Cambria"/>
          <w:b/>
          <w:sz w:val="24"/>
          <w:szCs w:val="24"/>
        </w:rPr>
      </w:pPr>
      <w:r>
        <w:rPr>
          <w:rFonts w:ascii="Cambria" w:hAnsi="Cambria"/>
          <w:b/>
          <w:sz w:val="24"/>
          <w:szCs w:val="24"/>
        </w:rPr>
        <w:t>DOS CASOS OMISSOS (</w:t>
      </w:r>
      <w:hyperlink r:id="rId50" w:anchor="art92" w:history="1">
        <w:r>
          <w:rPr>
            <w:rFonts w:ascii="Cambria" w:hAnsi="Cambria"/>
            <w:b/>
            <w:sz w:val="24"/>
            <w:szCs w:val="24"/>
          </w:rPr>
          <w:t>art. 92, III</w:t>
        </w:r>
      </w:hyperlink>
      <w:r>
        <w:rPr>
          <w:rFonts w:ascii="Cambria" w:hAnsi="Cambria"/>
          <w:b/>
          <w:sz w:val="24"/>
          <w:szCs w:val="24"/>
        </w:rPr>
        <w:t>)</w:t>
      </w:r>
    </w:p>
    <w:p>
      <w:pPr>
        <w:pStyle w:val="PargrafodaLista"/>
        <w:numPr>
          <w:ilvl w:val="1"/>
          <w:numId w:val="36"/>
        </w:numPr>
        <w:tabs>
          <w:tab w:val="left" w:pos="567"/>
          <w:tab w:val="left" w:pos="851"/>
          <w:tab w:val="left" w:pos="993"/>
          <w:tab w:val="center" w:pos="4873"/>
        </w:tabs>
        <w:suppressAutoHyphens w:val="0"/>
        <w:spacing w:line="276" w:lineRule="auto"/>
        <w:ind w:left="0" w:firstLine="0"/>
        <w:jc w:val="both"/>
        <w:rPr>
          <w:rFonts w:ascii="Cambria" w:hAnsi="Cambria"/>
          <w:bCs/>
          <w:sz w:val="24"/>
          <w:szCs w:val="24"/>
        </w:rPr>
      </w:pPr>
      <w:r>
        <w:rPr>
          <w:rFonts w:ascii="Cambria" w:hAnsi="Cambria"/>
          <w:bCs/>
          <w:sz w:val="24"/>
          <w:szCs w:val="24"/>
        </w:rPr>
        <w:t xml:space="preserve">Os casos omissos serão decididos pelo(s) órgão(s) demandante(s), segundo as disposições contidas na Lei </w:t>
      </w:r>
      <w:hyperlink r:id="rId51" w:history="1">
        <w:r>
          <w:rPr>
            <w:rFonts w:ascii="Cambria" w:hAnsi="Cambria"/>
            <w:bCs/>
            <w:sz w:val="24"/>
            <w:szCs w:val="24"/>
          </w:rPr>
          <w:t>nº 14.133, de 2021</w:t>
        </w:r>
      </w:hyperlink>
      <w:r>
        <w:rPr>
          <w:rFonts w:ascii="Cambria" w:hAnsi="Cambria"/>
          <w:bCs/>
          <w:sz w:val="24"/>
          <w:szCs w:val="24"/>
        </w:rPr>
        <w:t>, nos regulamentos e normas locais específicas, nas normas federais aplicáveis e, subsidiariamente, pelas normas e princípios gerais em Direito Admitidas.</w:t>
      </w:r>
    </w:p>
    <w:p>
      <w:pPr>
        <w:jc w:val="center"/>
        <w:rPr>
          <w:rFonts w:ascii="Cambria" w:hAnsi="Cambria"/>
          <w:b/>
          <w:spacing w:val="-4"/>
          <w:sz w:val="24"/>
          <w:szCs w:val="24"/>
        </w:rPr>
      </w:pPr>
    </w:p>
    <w:p>
      <w:pPr>
        <w:jc w:val="center"/>
        <w:rPr>
          <w:rFonts w:ascii="Cambria" w:hAnsi="Cambria"/>
          <w:b/>
          <w:spacing w:val="-4"/>
          <w:sz w:val="24"/>
          <w:szCs w:val="24"/>
        </w:rPr>
      </w:pPr>
    </w:p>
    <w:p>
      <w:pPr>
        <w:jc w:val="both"/>
        <w:rPr>
          <w:rFonts w:ascii="Cambria" w:hAnsi="Cambria"/>
          <w:sz w:val="24"/>
          <w:szCs w:val="24"/>
        </w:rPr>
      </w:pPr>
    </w:p>
    <w:p>
      <w:pPr>
        <w:rPr>
          <w:rFonts w:ascii="Cambria" w:hAnsi="Cambria"/>
          <w:color w:val="000000" w:themeColor="text1"/>
        </w:rPr>
      </w:pPr>
    </w:p>
    <w:p>
      <w:pPr>
        <w:jc w:val="center"/>
        <w:rPr>
          <w:rFonts w:ascii="Cambria" w:hAnsi="Cambria"/>
          <w:bCs/>
          <w:spacing w:val="-4"/>
          <w:sz w:val="24"/>
          <w:szCs w:val="24"/>
        </w:rPr>
      </w:pPr>
    </w:p>
    <w:p>
      <w:pPr>
        <w:jc w:val="center"/>
        <w:rPr>
          <w:rFonts w:ascii="Cambria" w:hAnsi="Cambria"/>
          <w:b/>
          <w:sz w:val="24"/>
          <w:szCs w:val="24"/>
        </w:rPr>
      </w:pPr>
      <w:r>
        <w:rPr>
          <w:rFonts w:ascii="Cambria" w:hAnsi="Cambria"/>
          <w:b/>
          <w:sz w:val="24"/>
          <w:szCs w:val="24"/>
        </w:rPr>
        <w:br w:type="page"/>
      </w:r>
      <w:r>
        <w:rPr>
          <w:rFonts w:ascii="Cambria" w:hAnsi="Cambria"/>
          <w:b/>
          <w:sz w:val="24"/>
          <w:szCs w:val="24"/>
        </w:rPr>
        <w:lastRenderedPageBreak/>
        <w:t>ANEXO I</w:t>
      </w:r>
    </w:p>
    <w:p>
      <w:pPr>
        <w:pStyle w:val="PargrafodaLista"/>
        <w:tabs>
          <w:tab w:val="left" w:pos="284"/>
        </w:tabs>
        <w:ind w:left="0"/>
        <w:rPr>
          <w:rFonts w:ascii="Cambria" w:hAnsi="Cambria"/>
          <w:b/>
          <w:sz w:val="24"/>
          <w:szCs w:val="24"/>
        </w:rPr>
      </w:pPr>
      <w:r>
        <w:rPr>
          <w:rFonts w:ascii="Cambria" w:hAnsi="Cambria"/>
          <w:b/>
          <w:sz w:val="24"/>
          <w:szCs w:val="24"/>
        </w:rPr>
        <w:t>1. DOS ITENS:</w:t>
      </w:r>
    </w:p>
    <w:p>
      <w:pPr>
        <w:pStyle w:val="PargrafodaLista"/>
        <w:tabs>
          <w:tab w:val="left" w:pos="284"/>
        </w:tabs>
        <w:autoSpaceDE w:val="0"/>
        <w:autoSpaceDN w:val="0"/>
        <w:adjustRightInd w:val="0"/>
        <w:ind w:left="0"/>
        <w:jc w:val="both"/>
        <w:rPr>
          <w:rFonts w:ascii="Cambria" w:hAnsi="Cambria"/>
          <w:bCs/>
          <w:sz w:val="24"/>
          <w:szCs w:val="24"/>
        </w:rPr>
      </w:pPr>
      <w:r>
        <w:rPr>
          <w:rFonts w:ascii="Cambria" w:hAnsi="Cambria"/>
          <w:bCs/>
          <w:sz w:val="24"/>
          <w:szCs w:val="24"/>
        </w:rPr>
        <w:t xml:space="preserve">1.1. </w:t>
      </w:r>
      <w:r>
        <w:rPr>
          <w:rFonts w:ascii="Cambria" w:hAnsi="Cambria"/>
          <w:b/>
          <w:sz w:val="24"/>
          <w:szCs w:val="24"/>
        </w:rPr>
        <w:t>Justificativa quanto ao quantitativo:</w:t>
      </w:r>
      <w:r>
        <w:rPr>
          <w:rFonts w:ascii="Cambria" w:hAnsi="Cambria"/>
          <w:bCs/>
          <w:sz w:val="24"/>
          <w:szCs w:val="24"/>
        </w:rPr>
        <w:t xml:space="preserve"> A definição dos quantitativos deu-se com base em levantamento pautado pelo histórico de utilização de exercícios anteriores e/ou em consonância com as necessidades das possíveis contratação prospectadas a longo prazo de vigência contratual, estipuladas por este(s) órgãos(s).</w:t>
      </w:r>
    </w:p>
    <w:p>
      <w:pPr>
        <w:pStyle w:val="PargrafodaLista"/>
        <w:tabs>
          <w:tab w:val="left" w:pos="284"/>
        </w:tabs>
        <w:autoSpaceDE w:val="0"/>
        <w:autoSpaceDN w:val="0"/>
        <w:adjustRightInd w:val="0"/>
        <w:ind w:left="0"/>
        <w:jc w:val="both"/>
        <w:rPr>
          <w:rFonts w:ascii="Cambria" w:hAnsi="Cambria"/>
          <w:bCs/>
          <w:sz w:val="24"/>
          <w:szCs w:val="24"/>
        </w:rPr>
      </w:pPr>
      <w:r>
        <w:rPr>
          <w:rFonts w:ascii="Cambria" w:hAnsi="Cambria"/>
          <w:bCs/>
          <w:sz w:val="24"/>
          <w:szCs w:val="24"/>
        </w:rPr>
        <w:t>1.2. Os quantitativos totais estipulados, bem como, a definição dos parâmetros e quantitativos para efeitos de formulação de proposta de preços constam do Anexo I deste Projeto Básico/Termo de Referência.</w:t>
      </w:r>
    </w:p>
    <w:p>
      <w:pPr>
        <w:pStyle w:val="PargrafodaLista"/>
        <w:tabs>
          <w:tab w:val="left" w:pos="284"/>
        </w:tabs>
        <w:autoSpaceDE w:val="0"/>
        <w:autoSpaceDN w:val="0"/>
        <w:adjustRightInd w:val="0"/>
        <w:ind w:left="0"/>
        <w:rPr>
          <w:rFonts w:ascii="Cambria" w:hAnsi="Cambria"/>
          <w:b/>
          <w:sz w:val="24"/>
          <w:szCs w:val="24"/>
        </w:rPr>
      </w:pPr>
    </w:p>
    <w:p>
      <w:pPr>
        <w:pStyle w:val="PargrafodaLista"/>
        <w:numPr>
          <w:ilvl w:val="0"/>
          <w:numId w:val="44"/>
        </w:numPr>
        <w:tabs>
          <w:tab w:val="left" w:pos="284"/>
        </w:tabs>
        <w:suppressAutoHyphens w:val="0"/>
        <w:autoSpaceDE w:val="0"/>
        <w:autoSpaceDN w:val="0"/>
        <w:adjustRightInd w:val="0"/>
        <w:jc w:val="both"/>
        <w:rPr>
          <w:rFonts w:ascii="Cambria" w:hAnsi="Cambria"/>
          <w:b/>
          <w:sz w:val="24"/>
          <w:szCs w:val="24"/>
        </w:rPr>
      </w:pPr>
      <w:r>
        <w:rPr>
          <w:rFonts w:ascii="Cambria" w:hAnsi="Cambria"/>
          <w:b/>
          <w:sz w:val="24"/>
          <w:szCs w:val="24"/>
        </w:rPr>
        <w:t>DOS QUANTITATIVOS TOTAIS DA LICITAÇÃO, OBEDECENDO A DISPOSIÇÃO DOS ITENS QUANTO A FORMULAÇÃO DAS PROPOSTAS DE PREÇOS (EM ATENDIMENTO AOS INCISOS I E III DO ART. 48 DA LEI Nº 123/2006).</w:t>
      </w:r>
    </w:p>
    <w:p>
      <w:pPr>
        <w:pStyle w:val="PargrafodaLista"/>
        <w:tabs>
          <w:tab w:val="left" w:pos="284"/>
        </w:tabs>
        <w:autoSpaceDE w:val="0"/>
        <w:autoSpaceDN w:val="0"/>
        <w:adjustRightInd w:val="0"/>
        <w:ind w:left="780"/>
        <w:jc w:val="both"/>
        <w:rPr>
          <w:rFonts w:ascii="Cambria" w:hAnsi="Cambria"/>
          <w:b/>
          <w:sz w:val="24"/>
          <w:szCs w:val="24"/>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4"/>
        <w:gridCol w:w="4040"/>
        <w:gridCol w:w="622"/>
        <w:gridCol w:w="863"/>
        <w:gridCol w:w="1421"/>
        <w:gridCol w:w="1417"/>
      </w:tblGrid>
      <w:tr>
        <w:trPr>
          <w:trHeight w:val="279"/>
        </w:trPr>
        <w:tc>
          <w:tcPr>
            <w:tcW w:w="704" w:type="dxa"/>
            <w:vMerge w:val="restart"/>
            <w:shd w:val="clear" w:color="000000" w:fill="FFFFFF"/>
            <w:noWrap/>
            <w:vAlign w:val="center"/>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ITEM</w:t>
            </w:r>
          </w:p>
        </w:tc>
        <w:tc>
          <w:tcPr>
            <w:tcW w:w="4040" w:type="dxa"/>
            <w:vMerge w:val="restart"/>
            <w:shd w:val="clear" w:color="000000" w:fill="FFFFFF"/>
            <w:vAlign w:val="center"/>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DESCRIÇÃO</w:t>
            </w:r>
          </w:p>
        </w:tc>
        <w:tc>
          <w:tcPr>
            <w:tcW w:w="622" w:type="dxa"/>
            <w:vMerge w:val="restart"/>
            <w:shd w:val="clear" w:color="000000" w:fill="FFFFFF"/>
            <w:noWrap/>
            <w:vAlign w:val="center"/>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UNID</w:t>
            </w:r>
          </w:p>
        </w:tc>
        <w:tc>
          <w:tcPr>
            <w:tcW w:w="863" w:type="dxa"/>
            <w:vMerge w:val="restart"/>
            <w:shd w:val="clear" w:color="000000" w:fill="FFFFFF"/>
            <w:noWrap/>
            <w:vAlign w:val="center"/>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QUANT</w:t>
            </w:r>
          </w:p>
        </w:tc>
        <w:tc>
          <w:tcPr>
            <w:tcW w:w="2838" w:type="dxa"/>
            <w:gridSpan w:val="2"/>
            <w:shd w:val="clear" w:color="9FC5E8" w:fill="FFFFFF"/>
            <w:noWrap/>
            <w:vAlign w:val="center"/>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VALORES MÉDIO</w:t>
            </w:r>
          </w:p>
        </w:tc>
      </w:tr>
      <w:tr>
        <w:trPr>
          <w:trHeight w:val="279"/>
        </w:trPr>
        <w:tc>
          <w:tcPr>
            <w:tcW w:w="704" w:type="dxa"/>
            <w:vMerge/>
            <w:shd w:val="clear" w:color="000000" w:fill="FFFFFF"/>
            <w:noWrap/>
            <w:vAlign w:val="center"/>
            <w:hideMark/>
          </w:tcPr>
          <w:p>
            <w:pPr>
              <w:jc w:val="center"/>
              <w:rPr>
                <w:rFonts w:ascii="Cambria" w:eastAsia="Times New Roman" w:hAnsi="Cambria"/>
                <w:b/>
                <w:bCs/>
                <w:color w:val="000000"/>
                <w:sz w:val="20"/>
                <w:szCs w:val="20"/>
              </w:rPr>
            </w:pPr>
          </w:p>
        </w:tc>
        <w:tc>
          <w:tcPr>
            <w:tcW w:w="4040" w:type="dxa"/>
            <w:vMerge/>
            <w:shd w:val="clear" w:color="000000" w:fill="FFFFFF"/>
            <w:hideMark/>
          </w:tcPr>
          <w:p>
            <w:pPr>
              <w:jc w:val="center"/>
              <w:rPr>
                <w:rFonts w:ascii="Cambria" w:eastAsia="Times New Roman" w:hAnsi="Cambria"/>
                <w:b/>
                <w:bCs/>
                <w:color w:val="000000"/>
                <w:sz w:val="20"/>
                <w:szCs w:val="20"/>
              </w:rPr>
            </w:pPr>
          </w:p>
        </w:tc>
        <w:tc>
          <w:tcPr>
            <w:tcW w:w="622" w:type="dxa"/>
            <w:vMerge/>
            <w:shd w:val="clear" w:color="000000" w:fill="FFFFFF"/>
            <w:noWrap/>
            <w:vAlign w:val="center"/>
            <w:hideMark/>
          </w:tcPr>
          <w:p>
            <w:pPr>
              <w:jc w:val="center"/>
              <w:rPr>
                <w:rFonts w:ascii="Cambria" w:eastAsia="Times New Roman" w:hAnsi="Cambria"/>
                <w:b/>
                <w:bCs/>
                <w:color w:val="000000"/>
                <w:sz w:val="20"/>
                <w:szCs w:val="20"/>
              </w:rPr>
            </w:pPr>
          </w:p>
        </w:tc>
        <w:tc>
          <w:tcPr>
            <w:tcW w:w="863" w:type="dxa"/>
            <w:vMerge/>
            <w:shd w:val="clear" w:color="000000" w:fill="FFFFFF"/>
            <w:noWrap/>
            <w:vAlign w:val="center"/>
            <w:hideMark/>
          </w:tcPr>
          <w:p>
            <w:pPr>
              <w:jc w:val="center"/>
              <w:rPr>
                <w:rFonts w:ascii="Cambria" w:eastAsia="Times New Roman" w:hAnsi="Cambria"/>
                <w:b/>
                <w:bCs/>
                <w:color w:val="000000"/>
                <w:sz w:val="20"/>
                <w:szCs w:val="20"/>
              </w:rPr>
            </w:pPr>
          </w:p>
        </w:tc>
        <w:tc>
          <w:tcPr>
            <w:tcW w:w="1421" w:type="dxa"/>
            <w:shd w:val="clear" w:color="9FC5E8" w:fill="FFFFFF"/>
            <w:noWrap/>
            <w:vAlign w:val="center"/>
            <w:hideMark/>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UNITARIO</w:t>
            </w:r>
          </w:p>
        </w:tc>
        <w:tc>
          <w:tcPr>
            <w:tcW w:w="1417" w:type="dxa"/>
            <w:shd w:val="clear" w:color="9FC5E8" w:fill="FFFFFF"/>
            <w:noWrap/>
            <w:vAlign w:val="center"/>
            <w:hideMark/>
          </w:tcPr>
          <w:p>
            <w:pPr>
              <w:jc w:val="center"/>
              <w:rPr>
                <w:rFonts w:ascii="Cambria" w:eastAsia="Times New Roman" w:hAnsi="Cambria"/>
                <w:b/>
                <w:bCs/>
                <w:color w:val="000000"/>
                <w:sz w:val="20"/>
                <w:szCs w:val="20"/>
              </w:rPr>
            </w:pPr>
            <w:r>
              <w:rPr>
                <w:rFonts w:ascii="Cambria" w:eastAsia="Times New Roman" w:hAnsi="Cambria"/>
                <w:b/>
                <w:bCs/>
                <w:color w:val="000000"/>
                <w:sz w:val="20"/>
                <w:szCs w:val="20"/>
              </w:rPr>
              <w:t>TOTAL</w:t>
            </w:r>
          </w:p>
        </w:tc>
      </w:tr>
      <w:tr>
        <w:trPr>
          <w:trHeight w:val="557"/>
        </w:trPr>
        <w:tc>
          <w:tcPr>
            <w:tcW w:w="704" w:type="dxa"/>
            <w:shd w:val="clear" w:color="000000" w:fill="FFFFFF"/>
            <w:noWrap/>
            <w:vAlign w:val="center"/>
            <w:hideMark/>
          </w:tcPr>
          <w:p>
            <w:pPr>
              <w:jc w:val="center"/>
              <w:rPr>
                <w:rFonts w:ascii="Cambria" w:eastAsia="Times New Roman" w:hAnsi="Cambria"/>
                <w:color w:val="000000"/>
                <w:sz w:val="20"/>
                <w:szCs w:val="20"/>
              </w:rPr>
            </w:pPr>
            <w:r>
              <w:rPr>
                <w:rFonts w:ascii="Cambria" w:hAnsi="Cambria"/>
                <w:lang w:eastAsia="en-US"/>
              </w:rPr>
              <w:t>01</w:t>
            </w:r>
          </w:p>
        </w:tc>
        <w:tc>
          <w:tcPr>
            <w:tcW w:w="4040" w:type="dxa"/>
            <w:shd w:val="clear" w:color="000000" w:fill="FFFFFF"/>
            <w:vAlign w:val="center"/>
            <w:hideMark/>
          </w:tcPr>
          <w:p>
            <w:pPr>
              <w:jc w:val="both"/>
              <w:rPr>
                <w:rFonts w:ascii="Cambria" w:eastAsia="Times New Roman" w:hAnsi="Cambria"/>
                <w:color w:val="000000"/>
                <w:sz w:val="20"/>
                <w:szCs w:val="20"/>
              </w:rPr>
            </w:pPr>
            <w:r>
              <w:rPr>
                <w:rFonts w:ascii="Cambria" w:hAnsi="Cambria"/>
                <w:lang w:eastAsia="en-US"/>
              </w:rPr>
              <w:t>MOTOCICLETA ZERO KM Cor: Vermelha Ano de fabricação não inferior a 2025 Zero km Combustível gasolina e/ou etanol Potência mínima 14,2 cv a 8000 rpm Motor mínimo 160cc Transmissão de 5 velocidades Sistema de partida elétrica Sistema de freios a disco Distância entre-eixos de 1.356mm Altura máxima do assento 836mm Tanque de combustível mínimo 12 litros Medida mínima do pneu dianteiro 90/90-19M/C Medida mínima do pneu traseiro 110/90-17M/C Sistema de alimentação: Injeção eletrônica. Garantia mínima de 3 anos. Obs: O veículo deve ser entregue de primeiro emplacamento em nome do município, sendo todas as despesas com o emplacamento de responsabilidade da contratada.</w:t>
            </w:r>
          </w:p>
        </w:tc>
        <w:tc>
          <w:tcPr>
            <w:tcW w:w="622" w:type="dxa"/>
            <w:shd w:val="clear" w:color="000000" w:fill="FFFFFF"/>
            <w:noWrap/>
            <w:vAlign w:val="center"/>
            <w:hideMark/>
          </w:tcPr>
          <w:p>
            <w:pPr>
              <w:rPr>
                <w:rFonts w:ascii="Cambria" w:eastAsia="Times New Roman" w:hAnsi="Cambria"/>
                <w:color w:val="000000"/>
                <w:sz w:val="20"/>
                <w:szCs w:val="20"/>
              </w:rPr>
            </w:pPr>
            <w:r>
              <w:rPr>
                <w:rFonts w:ascii="Cambria" w:hAnsi="Cambria"/>
                <w:lang w:eastAsia="en-US"/>
              </w:rPr>
              <w:t>UND</w:t>
            </w:r>
          </w:p>
        </w:tc>
        <w:tc>
          <w:tcPr>
            <w:tcW w:w="863" w:type="dxa"/>
            <w:shd w:val="clear" w:color="000000" w:fill="FFFFFF"/>
            <w:noWrap/>
            <w:vAlign w:val="center"/>
            <w:hideMark/>
          </w:tcPr>
          <w:p>
            <w:pPr>
              <w:jc w:val="center"/>
              <w:rPr>
                <w:rFonts w:ascii="Cambria" w:eastAsia="Times New Roman" w:hAnsi="Cambria"/>
                <w:color w:val="000000"/>
                <w:sz w:val="20"/>
                <w:szCs w:val="20"/>
              </w:rPr>
            </w:pPr>
            <w:r>
              <w:rPr>
                <w:rFonts w:ascii="Cambria" w:hAnsi="Cambria"/>
                <w:lang w:eastAsia="en-US"/>
              </w:rPr>
              <w:t>04</w:t>
            </w:r>
          </w:p>
        </w:tc>
        <w:tc>
          <w:tcPr>
            <w:tcW w:w="1421" w:type="dxa"/>
            <w:shd w:val="clear" w:color="9FC5E8" w:fill="FFFFFF"/>
            <w:noWrap/>
            <w:vAlign w:val="center"/>
            <w:hideMark/>
          </w:tcPr>
          <w:p>
            <w:pPr>
              <w:jc w:val="center"/>
              <w:rPr>
                <w:rFonts w:ascii="Cambria" w:eastAsia="Times New Roman" w:hAnsi="Cambria"/>
                <w:color w:val="000000"/>
                <w:sz w:val="20"/>
                <w:szCs w:val="20"/>
              </w:rPr>
            </w:pPr>
            <w:r>
              <w:rPr>
                <w:rFonts w:ascii="Cambria" w:eastAsia="Times New Roman" w:hAnsi="Cambria"/>
                <w:color w:val="000000"/>
                <w:sz w:val="20"/>
                <w:szCs w:val="20"/>
              </w:rPr>
              <w:t>R$ 29.000,00</w:t>
            </w:r>
          </w:p>
        </w:tc>
        <w:tc>
          <w:tcPr>
            <w:tcW w:w="1417" w:type="dxa"/>
            <w:shd w:val="clear" w:color="9FC5E8" w:fill="FFFFFF"/>
            <w:noWrap/>
            <w:vAlign w:val="center"/>
            <w:hideMark/>
          </w:tcPr>
          <w:p>
            <w:pPr>
              <w:jc w:val="center"/>
              <w:rPr>
                <w:rFonts w:ascii="Cambria" w:eastAsia="Times New Roman" w:hAnsi="Cambria"/>
                <w:color w:val="000000"/>
                <w:sz w:val="20"/>
                <w:szCs w:val="20"/>
              </w:rPr>
            </w:pPr>
            <w:r>
              <w:rPr>
                <w:rFonts w:ascii="Cambria" w:eastAsia="Times New Roman" w:hAnsi="Cambria"/>
                <w:color w:val="000000"/>
                <w:sz w:val="20"/>
                <w:szCs w:val="20"/>
              </w:rPr>
              <w:t>R$ 116.000,00</w:t>
            </w:r>
          </w:p>
        </w:tc>
      </w:tr>
      <w:tr>
        <w:trPr>
          <w:trHeight w:val="416"/>
        </w:trPr>
        <w:tc>
          <w:tcPr>
            <w:tcW w:w="704" w:type="dxa"/>
            <w:shd w:val="clear" w:color="000000" w:fill="FFFFFF"/>
            <w:noWrap/>
            <w:vAlign w:val="center"/>
            <w:hideMark/>
          </w:tcPr>
          <w:p>
            <w:pPr>
              <w:jc w:val="center"/>
              <w:rPr>
                <w:rFonts w:ascii="Cambria" w:eastAsia="Times New Roman" w:hAnsi="Cambria"/>
                <w:color w:val="000000"/>
                <w:sz w:val="20"/>
                <w:szCs w:val="20"/>
              </w:rPr>
            </w:pPr>
            <w:r>
              <w:rPr>
                <w:rFonts w:ascii="Cambria" w:hAnsi="Cambria"/>
                <w:lang w:eastAsia="en-US"/>
              </w:rPr>
              <w:t>02</w:t>
            </w:r>
          </w:p>
        </w:tc>
        <w:tc>
          <w:tcPr>
            <w:tcW w:w="4040" w:type="dxa"/>
            <w:shd w:val="clear" w:color="000000" w:fill="FFFFFF"/>
            <w:vAlign w:val="center"/>
            <w:hideMark/>
          </w:tcPr>
          <w:p>
            <w:pPr>
              <w:jc w:val="both"/>
              <w:rPr>
                <w:rFonts w:ascii="Cambria" w:eastAsia="Times New Roman" w:hAnsi="Cambria"/>
                <w:color w:val="000000"/>
                <w:sz w:val="20"/>
                <w:szCs w:val="20"/>
              </w:rPr>
            </w:pPr>
            <w:r>
              <w:rPr>
                <w:rFonts w:ascii="Cambria" w:hAnsi="Cambria"/>
                <w:lang w:eastAsia="en-US"/>
              </w:rPr>
              <w:t xml:space="preserve">AQUISIÇÃO DE VEÍCULO ZERO QULÔMETRO COM 5 LUGARES Especificações Mínimas: Modelo 2026 Cor: Branco Motorização 1.0 Transmissão manual de 5 velocidades 84 CV Total Flex Tração: Dianteira Direção elétrica, Airbags dianteiros e lanterais para os ocupantes dianteiros, Ar-condicionado com filtro de poeira e pólen, Freios ABS com EBD - Distribuição eletrônica de frenagem, Rodas de aço aro 15 com pneus 185/65 R15 e supercalotas Vidros elétricos dianteiros Volante </w:t>
            </w:r>
            <w:r>
              <w:rPr>
                <w:rFonts w:ascii="Cambria" w:hAnsi="Cambria"/>
                <w:lang w:eastAsia="en-US"/>
              </w:rPr>
              <w:lastRenderedPageBreak/>
              <w:t>multifuncional Antena de teto Espelhos retrovisores externos com luzes indicadoras de direção integradas.</w:t>
            </w:r>
          </w:p>
        </w:tc>
        <w:tc>
          <w:tcPr>
            <w:tcW w:w="622" w:type="dxa"/>
            <w:shd w:val="clear" w:color="000000" w:fill="FFFFFF"/>
            <w:noWrap/>
            <w:vAlign w:val="center"/>
            <w:hideMark/>
          </w:tcPr>
          <w:p>
            <w:pPr>
              <w:jc w:val="center"/>
              <w:rPr>
                <w:rFonts w:ascii="Cambria" w:eastAsia="Times New Roman" w:hAnsi="Cambria"/>
                <w:color w:val="000000"/>
                <w:sz w:val="20"/>
                <w:szCs w:val="20"/>
              </w:rPr>
            </w:pPr>
            <w:r>
              <w:rPr>
                <w:rFonts w:ascii="Cambria" w:hAnsi="Cambria"/>
                <w:lang w:eastAsia="en-US"/>
              </w:rPr>
              <w:lastRenderedPageBreak/>
              <w:t>UND</w:t>
            </w:r>
          </w:p>
        </w:tc>
        <w:tc>
          <w:tcPr>
            <w:tcW w:w="863" w:type="dxa"/>
            <w:shd w:val="clear" w:color="000000" w:fill="FFFFFF"/>
            <w:noWrap/>
            <w:vAlign w:val="center"/>
            <w:hideMark/>
          </w:tcPr>
          <w:p>
            <w:pPr>
              <w:jc w:val="center"/>
              <w:rPr>
                <w:rFonts w:ascii="Cambria" w:eastAsia="Times New Roman" w:hAnsi="Cambria"/>
                <w:color w:val="000000"/>
                <w:sz w:val="20"/>
                <w:szCs w:val="20"/>
              </w:rPr>
            </w:pPr>
            <w:r>
              <w:rPr>
                <w:rFonts w:ascii="Cambria" w:hAnsi="Cambria"/>
                <w:lang w:eastAsia="en-US"/>
              </w:rPr>
              <w:t>06</w:t>
            </w:r>
          </w:p>
        </w:tc>
        <w:tc>
          <w:tcPr>
            <w:tcW w:w="1421" w:type="dxa"/>
            <w:shd w:val="clear" w:color="9FC5E8" w:fill="FFFFFF"/>
            <w:noWrap/>
            <w:vAlign w:val="center"/>
            <w:hideMark/>
          </w:tcPr>
          <w:p>
            <w:pPr>
              <w:jc w:val="center"/>
              <w:rPr>
                <w:rFonts w:ascii="Cambria" w:eastAsia="Times New Roman" w:hAnsi="Cambria"/>
                <w:color w:val="000000"/>
                <w:sz w:val="20"/>
                <w:szCs w:val="20"/>
              </w:rPr>
            </w:pPr>
            <w:r>
              <w:rPr>
                <w:rFonts w:ascii="Cambria" w:eastAsia="Times New Roman" w:hAnsi="Cambria"/>
                <w:color w:val="000000"/>
                <w:sz w:val="20"/>
                <w:szCs w:val="20"/>
              </w:rPr>
              <w:t>R$ 111.600,00</w:t>
            </w:r>
          </w:p>
        </w:tc>
        <w:tc>
          <w:tcPr>
            <w:tcW w:w="1417" w:type="dxa"/>
            <w:shd w:val="clear" w:color="9FC5E8" w:fill="FFFFFF"/>
            <w:noWrap/>
            <w:vAlign w:val="center"/>
            <w:hideMark/>
          </w:tcPr>
          <w:p>
            <w:pPr>
              <w:jc w:val="center"/>
              <w:rPr>
                <w:rFonts w:ascii="Cambria" w:eastAsia="Times New Roman" w:hAnsi="Cambria"/>
                <w:color w:val="000000"/>
                <w:sz w:val="20"/>
                <w:szCs w:val="20"/>
              </w:rPr>
            </w:pPr>
            <w:r>
              <w:rPr>
                <w:rFonts w:ascii="Cambria" w:eastAsia="Times New Roman" w:hAnsi="Cambria"/>
                <w:color w:val="000000"/>
                <w:sz w:val="20"/>
                <w:szCs w:val="20"/>
              </w:rPr>
              <w:t>R$ 669.600,00</w:t>
            </w:r>
          </w:p>
        </w:tc>
      </w:tr>
      <w:tr>
        <w:trPr>
          <w:trHeight w:val="416"/>
        </w:trPr>
        <w:tc>
          <w:tcPr>
            <w:tcW w:w="704" w:type="dxa"/>
            <w:shd w:val="clear" w:color="000000" w:fill="FFFFFF"/>
            <w:noWrap/>
            <w:vAlign w:val="center"/>
          </w:tcPr>
          <w:p>
            <w:pPr>
              <w:jc w:val="center"/>
              <w:rPr>
                <w:rFonts w:ascii="Cambria" w:hAnsi="Cambria"/>
                <w:lang w:eastAsia="en-US"/>
              </w:rPr>
            </w:pPr>
            <w:r>
              <w:rPr>
                <w:rFonts w:ascii="Cambria" w:hAnsi="Cambria"/>
                <w:lang w:eastAsia="en-US"/>
              </w:rPr>
              <w:lastRenderedPageBreak/>
              <w:t>03</w:t>
            </w:r>
          </w:p>
        </w:tc>
        <w:tc>
          <w:tcPr>
            <w:tcW w:w="4040" w:type="dxa"/>
            <w:shd w:val="clear" w:color="000000" w:fill="FFFFFF"/>
            <w:vAlign w:val="center"/>
          </w:tcPr>
          <w:p>
            <w:pPr>
              <w:widowControl w:val="0"/>
              <w:autoSpaceDE w:val="0"/>
              <w:autoSpaceDN w:val="0"/>
              <w:jc w:val="both"/>
              <w:rPr>
                <w:rFonts w:ascii="Cambria" w:hAnsi="Cambria"/>
                <w:lang w:eastAsia="en-US"/>
              </w:rPr>
            </w:pPr>
            <w:r>
              <w:rPr>
                <w:rFonts w:ascii="Cambria" w:hAnsi="Cambria"/>
                <w:lang w:eastAsia="en-US"/>
              </w:rPr>
              <w:t>AQUISIÇÃO DE VEÍCULO ZERO QUILÔMETRO CABINE DUPLA Especificações Mínimas Gerais: Transmissão: Manual - 116 cv - Total Flex - Modelo: 2026 - Cor - Branco Cristal</w:t>
            </w:r>
          </w:p>
          <w:p>
            <w:pPr>
              <w:widowControl w:val="0"/>
              <w:autoSpaceDE w:val="0"/>
              <w:autoSpaceDN w:val="0"/>
              <w:jc w:val="both"/>
              <w:rPr>
                <w:rFonts w:ascii="Cambria" w:hAnsi="Cambria"/>
                <w:lang w:eastAsia="en-US"/>
              </w:rPr>
            </w:pPr>
            <w:r>
              <w:rPr>
                <w:rFonts w:ascii="Cambria" w:hAnsi="Cambria"/>
                <w:lang w:eastAsia="en-US"/>
              </w:rPr>
              <w:t>Combustível: Total Flex Gasolina e/ou Etanol Procedência: Fabricação nacional Brasil Especificações Técnicas Mínimas:</w:t>
            </w:r>
          </w:p>
          <w:p>
            <w:pPr>
              <w:jc w:val="both"/>
              <w:rPr>
                <w:rFonts w:ascii="Cambria" w:hAnsi="Cambria"/>
                <w:lang w:eastAsia="en-US"/>
              </w:rPr>
            </w:pPr>
            <w:r>
              <w:rPr>
                <w:rFonts w:ascii="Cambria" w:hAnsi="Cambria"/>
                <w:lang w:eastAsia="en-US"/>
              </w:rPr>
              <w:t>Motor: 1.6 Total Flex aproximadamente 116 cv Transmissão: Manual, 5 marchas Tração: Dianteira Direção: Hidráulica Rodas: Rodas de aço aro 15” com pneus 205/60 R15 Combustível: Flex Tanque: 55 litros Portas: 2 Lugares: 5Bancos dianteiros para passageiro e motorista e Bancos traseiros para 3 passageiros com 3 apoios de cabeça Airbags: 2 dianteiros Garantia total: 36 meses Garantia de motor e câmbio: 12 meses Ar-Condicionado com filtro de poeira e pólen Cintos de segurança traseiros de 3 pontos inclusive o central • “ABS” - freios com sistema antitravamento • “EBD” - freios com distribuição eletrônica de frenagem • “ESC” - controle eletrônico de estabilidade • “E-Flex” – sistema de partida a frio sem tanque auxiliar de gasolina • “ESS” - alerta de frenagem de emergência • “HHC” - assistente para partida em subida Vidros elétricos.</w:t>
            </w:r>
          </w:p>
        </w:tc>
        <w:tc>
          <w:tcPr>
            <w:tcW w:w="622" w:type="dxa"/>
            <w:shd w:val="clear" w:color="000000" w:fill="FFFFFF"/>
            <w:noWrap/>
            <w:vAlign w:val="center"/>
          </w:tcPr>
          <w:p>
            <w:pPr>
              <w:jc w:val="center"/>
              <w:rPr>
                <w:rFonts w:ascii="Cambria" w:hAnsi="Cambria"/>
                <w:lang w:eastAsia="en-US"/>
              </w:rPr>
            </w:pPr>
            <w:r>
              <w:rPr>
                <w:rFonts w:ascii="Cambria" w:hAnsi="Cambria"/>
                <w:lang w:eastAsia="en-US"/>
              </w:rPr>
              <w:t>UND</w:t>
            </w:r>
          </w:p>
        </w:tc>
        <w:tc>
          <w:tcPr>
            <w:tcW w:w="863" w:type="dxa"/>
            <w:shd w:val="clear" w:color="000000" w:fill="FFFFFF"/>
            <w:noWrap/>
            <w:vAlign w:val="center"/>
          </w:tcPr>
          <w:p>
            <w:pPr>
              <w:jc w:val="center"/>
              <w:rPr>
                <w:rFonts w:ascii="Cambria" w:hAnsi="Cambria"/>
                <w:lang w:eastAsia="en-US"/>
              </w:rPr>
            </w:pPr>
            <w:r>
              <w:rPr>
                <w:rFonts w:ascii="Cambria" w:hAnsi="Cambria"/>
                <w:lang w:eastAsia="en-US"/>
              </w:rPr>
              <w:t>01</w:t>
            </w:r>
          </w:p>
        </w:tc>
        <w:tc>
          <w:tcPr>
            <w:tcW w:w="1421" w:type="dxa"/>
            <w:shd w:val="clear" w:color="9FC5E8" w:fill="FFFFFF"/>
            <w:noWrap/>
            <w:vAlign w:val="center"/>
          </w:tcPr>
          <w:p>
            <w:pPr>
              <w:jc w:val="center"/>
              <w:rPr>
                <w:rFonts w:ascii="Cambria" w:eastAsia="Times New Roman" w:hAnsi="Cambria"/>
                <w:color w:val="000000"/>
                <w:sz w:val="20"/>
                <w:szCs w:val="20"/>
              </w:rPr>
            </w:pPr>
            <w:r>
              <w:rPr>
                <w:rFonts w:ascii="Cambria" w:eastAsia="Times New Roman" w:hAnsi="Cambria"/>
                <w:color w:val="000000"/>
                <w:sz w:val="20"/>
                <w:szCs w:val="20"/>
              </w:rPr>
              <w:t>R$ 132.460,00</w:t>
            </w:r>
          </w:p>
        </w:tc>
        <w:tc>
          <w:tcPr>
            <w:tcW w:w="1417" w:type="dxa"/>
            <w:shd w:val="clear" w:color="9FC5E8" w:fill="FFFFFF"/>
            <w:noWrap/>
            <w:vAlign w:val="center"/>
          </w:tcPr>
          <w:p>
            <w:pPr>
              <w:jc w:val="center"/>
              <w:rPr>
                <w:rFonts w:ascii="Cambria" w:eastAsia="Times New Roman" w:hAnsi="Cambria"/>
                <w:color w:val="000000"/>
                <w:sz w:val="20"/>
                <w:szCs w:val="20"/>
              </w:rPr>
            </w:pPr>
            <w:r>
              <w:rPr>
                <w:rFonts w:ascii="Cambria" w:eastAsia="Times New Roman" w:hAnsi="Cambria"/>
                <w:color w:val="000000"/>
                <w:sz w:val="20"/>
                <w:szCs w:val="20"/>
              </w:rPr>
              <w:t>R$ 132.460,00</w:t>
            </w:r>
          </w:p>
        </w:tc>
      </w:tr>
      <w:tr>
        <w:trPr>
          <w:trHeight w:val="362"/>
        </w:trPr>
        <w:tc>
          <w:tcPr>
            <w:tcW w:w="9067" w:type="dxa"/>
            <w:gridSpan w:val="6"/>
            <w:shd w:val="clear" w:color="000000" w:fill="FFFFFF"/>
            <w:noWrap/>
            <w:hideMark/>
          </w:tcPr>
          <w:p>
            <w:pPr>
              <w:rPr>
                <w:rFonts w:ascii="Cambria" w:eastAsia="Times New Roman" w:hAnsi="Cambria"/>
                <w:color w:val="000000"/>
                <w:sz w:val="20"/>
                <w:szCs w:val="20"/>
              </w:rPr>
            </w:pPr>
            <w:r>
              <w:rPr>
                <w:rFonts w:ascii="Cambria" w:eastAsia="Times New Roman" w:hAnsi="Cambria"/>
                <w:b/>
                <w:bCs/>
                <w:color w:val="000000"/>
                <w:sz w:val="20"/>
                <w:szCs w:val="20"/>
              </w:rPr>
              <w:t>VALOR TOTAL:</w:t>
            </w:r>
            <w:r>
              <w:rPr>
                <w:rFonts w:ascii="Cambria" w:eastAsia="Times New Roman" w:hAnsi="Cambria"/>
                <w:color w:val="000000"/>
                <w:sz w:val="20"/>
                <w:szCs w:val="20"/>
              </w:rPr>
              <w:t xml:space="preserve">  </w:t>
            </w:r>
            <w:r>
              <w:rPr>
                <w:rFonts w:ascii="Cambria" w:eastAsia="Times New Roman" w:hAnsi="Cambria"/>
                <w:bCs/>
                <w:color w:val="000000"/>
                <w:sz w:val="20"/>
                <w:szCs w:val="20"/>
              </w:rPr>
              <w:t>R$ 918.060,00 (Novecentos e dezoito mil e sessenta reais).</w:t>
            </w:r>
          </w:p>
        </w:tc>
      </w:tr>
    </w:tbl>
    <w:p>
      <w:pPr>
        <w:jc w:val="center"/>
        <w:rPr>
          <w:rFonts w:ascii="Cambria" w:hAnsi="Cambria"/>
          <w:b/>
          <w:sz w:val="24"/>
          <w:szCs w:val="24"/>
        </w:rPr>
      </w:pPr>
      <w:r>
        <w:rPr>
          <w:rFonts w:ascii="Cambria" w:hAnsi="Cambria"/>
          <w:sz w:val="24"/>
          <w:szCs w:val="24"/>
        </w:rPr>
        <w:br w:type="page"/>
      </w:r>
      <w:r>
        <w:rPr>
          <w:rFonts w:ascii="Cambria" w:hAnsi="Cambria"/>
          <w:b/>
          <w:sz w:val="24"/>
          <w:szCs w:val="24"/>
        </w:rPr>
        <w:lastRenderedPageBreak/>
        <w:t>ANEXO II</w:t>
      </w:r>
    </w:p>
    <w:p>
      <w:pPr>
        <w:jc w:val="center"/>
        <w:rPr>
          <w:rFonts w:ascii="Cambria" w:hAnsi="Cambria"/>
          <w:b/>
          <w:sz w:val="24"/>
          <w:szCs w:val="24"/>
        </w:rPr>
      </w:pPr>
      <w:r>
        <w:rPr>
          <w:rFonts w:ascii="Cambria" w:hAnsi="Cambria"/>
          <w:b/>
          <w:sz w:val="24"/>
          <w:szCs w:val="24"/>
        </w:rPr>
        <w:t>RELAÇÃO DOS DOCUMENTOS DE HABILITAÇÃO</w:t>
      </w:r>
    </w:p>
    <w:p>
      <w:pPr>
        <w:jc w:val="center"/>
        <w:rPr>
          <w:rFonts w:ascii="Cambria" w:hAnsi="Cambria"/>
          <w:b/>
          <w:sz w:val="24"/>
          <w:szCs w:val="24"/>
        </w:rPr>
      </w:pPr>
    </w:p>
    <w:p>
      <w:pPr>
        <w:rPr>
          <w:rFonts w:ascii="Cambria" w:hAnsi="Cambria"/>
          <w:sz w:val="24"/>
          <w:szCs w:val="24"/>
        </w:rPr>
      </w:pPr>
      <w:r>
        <w:rPr>
          <w:rFonts w:ascii="Cambria" w:hAnsi="Cambria"/>
          <w:sz w:val="24"/>
          <w:szCs w:val="24"/>
        </w:rPr>
        <w:t>Para fins de licitação, o(s) licitante(s) deverão comprovar o atendimento aos seguintes requisitos:</w:t>
      </w:r>
    </w:p>
    <w:p>
      <w:pPr>
        <w:pStyle w:val="PargrafodaLista"/>
        <w:numPr>
          <w:ilvl w:val="0"/>
          <w:numId w:val="35"/>
        </w:numPr>
        <w:tabs>
          <w:tab w:val="left" w:pos="284"/>
        </w:tabs>
        <w:suppressAutoHyphens w:val="0"/>
        <w:spacing w:line="276" w:lineRule="auto"/>
        <w:rPr>
          <w:rFonts w:ascii="Cambria" w:hAnsi="Cambria"/>
          <w:b/>
          <w:bCs/>
          <w:sz w:val="24"/>
          <w:szCs w:val="24"/>
        </w:rPr>
      </w:pPr>
      <w:bookmarkStart w:id="58" w:name="_Hlk155179860"/>
      <w:r>
        <w:rPr>
          <w:rFonts w:ascii="Cambria" w:hAnsi="Cambria"/>
          <w:b/>
          <w:bCs/>
          <w:sz w:val="24"/>
          <w:szCs w:val="24"/>
        </w:rPr>
        <w:t>Habilitação jurídica</w:t>
      </w:r>
    </w:p>
    <w:p>
      <w:pPr>
        <w:tabs>
          <w:tab w:val="left" w:pos="284"/>
        </w:tabs>
        <w:jc w:val="both"/>
        <w:rPr>
          <w:rFonts w:ascii="Cambria" w:hAnsi="Cambria"/>
          <w:sz w:val="24"/>
          <w:szCs w:val="24"/>
        </w:rPr>
      </w:pPr>
      <w:r>
        <w:rPr>
          <w:rFonts w:ascii="Cambria" w:hAnsi="Cambria"/>
          <w:sz w:val="24"/>
          <w:szCs w:val="24"/>
        </w:rPr>
        <w:t xml:space="preserve">A habilitação jurídica visa a demonstrar a capacidade de o licitante exercer direitos e assumir obrigações, e a documentação a ser apresentada por ele limita-se à </w:t>
      </w:r>
      <w:r>
        <w:rPr>
          <w:rFonts w:ascii="Cambria" w:hAnsi="Cambria"/>
          <w:b/>
          <w:bCs/>
          <w:sz w:val="24"/>
          <w:szCs w:val="24"/>
        </w:rPr>
        <w:t>comprovação de existência jurídica da pessoa</w:t>
      </w:r>
      <w:r>
        <w:rPr>
          <w:rFonts w:ascii="Cambria" w:hAnsi="Cambria"/>
          <w:sz w:val="24"/>
          <w:szCs w:val="24"/>
        </w:rPr>
        <w:t xml:space="preserve"> e, quando cabível, de autorização para o exercício da atividade a ser contratada (Art. 66 da Lei Federal nº 14.133/21), devendo ser observado e apresentado, se for:</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Pessoa física: cédula de identidade (RG) ou documento equivalente que, por força de lei, tenha validade para fins de identificação em todo o território nacional;</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 xml:space="preserve">Empresário individual: inscrição no Registro Público de Empresas Mercantis, a cargo da Junta Comercial da respectiva sede; </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 xml:space="preserve">Microempreendedor Individual - MEI: Certificado da Condição de Microempreendedor Individual - CCMEI, cuja aceitação ficará condicionada à verificação da autenticidade no sítio https://www.gov.br/empresas-e-negocios/pt-br/empreendedor; </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Sociedade simples: inscrição do ato constitutivo no Registro Civil de Pessoas Jurídicas do local de sua sede, acompanhada de documento comprobatório de seus administradores;</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lastRenderedPageBreak/>
        <w:t>Agricultor familiar: Declaração de Aptidão ao Pronaf – DAP ou DAP-P válida, ou, ainda, outros documentos definidos pela Secretaria Especial de Agricultura Familiar e do Desenvolvimento Agrário, nos termos do art. 4º, §2º do Decreto nº 10.880, de 2 de dezembro de 2024.</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Produtor Rural: matrícula no Cadastro Específico do INSS – CEI, que comprove a qualificação como produtor rural pessoa física, nos termos da Instrução Normativa RFB n. 971, de 13 de novembro de 2009 (arts. 17 a 19 e 165).</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Ato de autorização para o exercício da atividade.</w:t>
      </w:r>
    </w:p>
    <w:p>
      <w:pPr>
        <w:pStyle w:val="PargrafodaLista"/>
        <w:tabs>
          <w:tab w:val="left" w:pos="567"/>
          <w:tab w:val="left" w:pos="851"/>
          <w:tab w:val="left" w:pos="2525"/>
          <w:tab w:val="center" w:pos="4873"/>
        </w:tabs>
        <w:ind w:left="0"/>
        <w:jc w:val="both"/>
        <w:rPr>
          <w:rFonts w:ascii="Cambria" w:hAnsi="Cambria"/>
          <w:bCs/>
          <w:sz w:val="24"/>
          <w:szCs w:val="24"/>
        </w:rPr>
      </w:pPr>
    </w:p>
    <w:p>
      <w:pPr>
        <w:pStyle w:val="PargrafodaLista"/>
        <w:tabs>
          <w:tab w:val="left" w:pos="567"/>
          <w:tab w:val="left" w:pos="851"/>
          <w:tab w:val="left" w:pos="2525"/>
          <w:tab w:val="center" w:pos="4873"/>
        </w:tabs>
        <w:ind w:left="0"/>
        <w:jc w:val="both"/>
        <w:rPr>
          <w:rFonts w:ascii="Cambria" w:hAnsi="Cambria"/>
          <w:b/>
          <w:sz w:val="24"/>
          <w:szCs w:val="24"/>
        </w:rPr>
      </w:pPr>
      <w:r>
        <w:rPr>
          <w:rFonts w:ascii="Cambria" w:hAnsi="Cambria"/>
          <w:b/>
          <w:sz w:val="24"/>
          <w:szCs w:val="24"/>
        </w:rPr>
        <w:t>Os documentos apresentados deverão estar acompanhados de todas as alterações ou da consolidação respectiva.</w:t>
      </w:r>
    </w:p>
    <w:p>
      <w:pPr>
        <w:pStyle w:val="PargrafodaLista"/>
        <w:tabs>
          <w:tab w:val="left" w:pos="567"/>
          <w:tab w:val="left" w:pos="851"/>
          <w:tab w:val="left" w:pos="2525"/>
          <w:tab w:val="center" w:pos="4873"/>
        </w:tabs>
        <w:ind w:left="0"/>
        <w:jc w:val="both"/>
        <w:rPr>
          <w:rFonts w:ascii="Cambria" w:hAnsi="Cambria"/>
          <w:b/>
          <w:sz w:val="24"/>
          <w:szCs w:val="24"/>
        </w:rPr>
      </w:pPr>
    </w:p>
    <w:p>
      <w:pPr>
        <w:pStyle w:val="PargrafodaLista"/>
        <w:numPr>
          <w:ilvl w:val="0"/>
          <w:numId w:val="35"/>
        </w:numPr>
        <w:tabs>
          <w:tab w:val="left" w:pos="284"/>
        </w:tabs>
        <w:suppressAutoHyphens w:val="0"/>
        <w:spacing w:line="276" w:lineRule="auto"/>
        <w:rPr>
          <w:rFonts w:ascii="Cambria" w:hAnsi="Cambria"/>
          <w:b/>
          <w:bCs/>
          <w:sz w:val="24"/>
          <w:szCs w:val="24"/>
        </w:rPr>
      </w:pPr>
      <w:r>
        <w:rPr>
          <w:rFonts w:ascii="Cambria" w:hAnsi="Cambria"/>
          <w:b/>
          <w:bCs/>
          <w:sz w:val="24"/>
          <w:szCs w:val="24"/>
        </w:rPr>
        <w:t>Habilitação fiscal, social e trabalhista</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Prova de inscrição no Cadastro Nacional de Pessoas Jurídicas (CNPJ);</w:t>
      </w:r>
      <w:bookmarkStart w:id="59" w:name="art68ii"/>
      <w:bookmarkEnd w:id="59"/>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Prova de inscrição no cadastro de contribuintes estadual e/ou municipal, se houver, relativo ao domicílio ou sede do licitante, pertinente ao seu ramo de atividade e compatível com o objeto contratual</w:t>
      </w:r>
      <w:bookmarkStart w:id="60" w:name="art68iii"/>
      <w:bookmarkEnd w:id="60"/>
      <w:r>
        <w:rPr>
          <w:rFonts w:ascii="Cambria" w:hAnsi="Cambria"/>
          <w:bCs/>
          <w:sz w:val="24"/>
          <w:szCs w:val="24"/>
        </w:rPr>
        <w:t>;</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Prova de regularidade com a Fazenda federal, estadual e municipal do domicílio ou sede do licitante, ou outra equivalente, na forma da lei</w:t>
      </w:r>
      <w:bookmarkStart w:id="61" w:name="art68iv"/>
      <w:bookmarkEnd w:id="61"/>
      <w:r>
        <w:rPr>
          <w:rFonts w:ascii="Cambria" w:hAnsi="Cambria"/>
          <w:bCs/>
          <w:sz w:val="24"/>
          <w:szCs w:val="24"/>
        </w:rPr>
        <w:t>;</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Prova de regularidade relativa à Seguridade Social e ao FGTS, que demonstre cumprimento dos encargos sociais instituídos por lei;</w:t>
      </w:r>
      <w:bookmarkStart w:id="62" w:name="art68v"/>
      <w:bookmarkEnd w:id="62"/>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Prova de regularidade perante a Justiça do Trabalho (Mediante a apresentação de certidão negativa ou positiva com efeito de negativa, nos termos do Título VII-A da Consolidação das Leis do Trabalho, aprovada pelo Decreto-Lei nº 5.452, de 1º de maio de 1943).</w:t>
      </w:r>
      <w:bookmarkStart w:id="63" w:name="art68vi"/>
      <w:bookmarkEnd w:id="63"/>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Declaração quanto ao cumprimento do disposto no </w:t>
      </w:r>
      <w:hyperlink r:id="rId52" w:anchor="art7xxxiii" w:history="1">
        <w:r>
          <w:rPr>
            <w:rFonts w:ascii="Cambria" w:hAnsi="Cambria"/>
            <w:bCs/>
            <w:sz w:val="24"/>
            <w:szCs w:val="24"/>
          </w:rPr>
          <w:t>inciso XXXIII do art. 7º da Constituição Federal (Esta declaração ficará dispensada em caso de procedimento eletrônico onde o proponente opte por assinalar a opção constante do sistema).</w:t>
        </w:r>
      </w:hyperlink>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O fornecedor enquadrado como microempreendedor individual que pretenda auferir os benefícios do tratamento diferenciado previstos na Lei Complementar n.º 123, de 2006, estará dispensado da prova de inscrição nos cadastros de contribuintes estadual e municipal.</w:t>
      </w:r>
    </w:p>
    <w:p>
      <w:pPr>
        <w:pStyle w:val="PargrafodaLista"/>
        <w:tabs>
          <w:tab w:val="left" w:pos="426"/>
        </w:tabs>
        <w:ind w:left="0"/>
        <w:jc w:val="both"/>
        <w:rPr>
          <w:rFonts w:ascii="Cambria" w:hAnsi="Cambria"/>
          <w:bCs/>
          <w:sz w:val="24"/>
          <w:szCs w:val="24"/>
        </w:rPr>
      </w:pPr>
    </w:p>
    <w:p>
      <w:pPr>
        <w:pStyle w:val="PargrafodaLista"/>
        <w:numPr>
          <w:ilvl w:val="0"/>
          <w:numId w:val="35"/>
        </w:numPr>
        <w:tabs>
          <w:tab w:val="left" w:pos="284"/>
        </w:tabs>
        <w:suppressAutoHyphens w:val="0"/>
        <w:spacing w:line="276" w:lineRule="auto"/>
        <w:rPr>
          <w:rFonts w:ascii="Cambria" w:hAnsi="Cambria"/>
          <w:b/>
          <w:bCs/>
          <w:sz w:val="24"/>
          <w:szCs w:val="24"/>
        </w:rPr>
      </w:pPr>
      <w:r>
        <w:rPr>
          <w:rFonts w:ascii="Cambria" w:hAnsi="Cambria"/>
          <w:b/>
          <w:bCs/>
          <w:sz w:val="24"/>
          <w:szCs w:val="24"/>
        </w:rPr>
        <w:t>Qualificação Econômico-Financeira</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lastRenderedPageBreak/>
        <w:t>Balanço patrimonial, demonstração de resultado de exercício e demais demonstrações contábeis dos 2 (dois) últimos exercícios sociais (já exigíveis e apresentados na forma da lei, devidamente registrado no órgão competente de origem)</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pPr>
        <w:pStyle w:val="PargrafodaLista"/>
        <w:tabs>
          <w:tab w:val="left" w:pos="426"/>
        </w:tabs>
        <w:ind w:left="426"/>
        <w:jc w:val="both"/>
        <w:rPr>
          <w:rFonts w:ascii="Cambria" w:hAnsi="Cambria"/>
          <w:bCs/>
          <w:sz w:val="24"/>
          <w:szCs w:val="24"/>
        </w:rPr>
      </w:pPr>
      <w:r>
        <w:rPr>
          <w:rFonts w:ascii="Cambria" w:hAnsi="Cambria"/>
          <w:bCs/>
          <w:sz w:val="24"/>
          <w:szCs w:val="24"/>
        </w:rPr>
        <w:t>I - Liquidez Geral (LG) = (Ativo Circulante + Realizável a Longo Prazo)/( Passivo Circulante + Passivo Não Circulante);</w:t>
      </w:r>
    </w:p>
    <w:p>
      <w:pPr>
        <w:pStyle w:val="PargrafodaLista"/>
        <w:tabs>
          <w:tab w:val="left" w:pos="426"/>
        </w:tabs>
        <w:ind w:left="426"/>
        <w:jc w:val="both"/>
        <w:rPr>
          <w:rFonts w:ascii="Cambria" w:hAnsi="Cambria"/>
          <w:bCs/>
          <w:sz w:val="24"/>
          <w:szCs w:val="24"/>
        </w:rPr>
      </w:pPr>
      <w:r>
        <w:rPr>
          <w:rFonts w:ascii="Cambria" w:hAnsi="Cambria"/>
          <w:bCs/>
          <w:sz w:val="24"/>
          <w:szCs w:val="24"/>
        </w:rPr>
        <w:t>II - Solvência Geral (SG)= (Ativo Total)/(Passivo Circulante +Passivo não Circulante); e</w:t>
      </w:r>
    </w:p>
    <w:p>
      <w:pPr>
        <w:pStyle w:val="PargrafodaLista"/>
        <w:tabs>
          <w:tab w:val="left" w:pos="426"/>
        </w:tabs>
        <w:ind w:left="426"/>
        <w:jc w:val="both"/>
        <w:rPr>
          <w:rFonts w:ascii="Cambria" w:hAnsi="Cambria"/>
          <w:bCs/>
          <w:sz w:val="24"/>
          <w:szCs w:val="24"/>
        </w:rPr>
      </w:pPr>
      <w:r>
        <w:rPr>
          <w:rFonts w:ascii="Cambria" w:hAnsi="Cambria"/>
          <w:bCs/>
          <w:sz w:val="24"/>
          <w:szCs w:val="24"/>
        </w:rPr>
        <w:t>III - Liquidez Corrente (LC) = (Ativo Circulante)/(Passivo Circulante).</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Certidão negativa de feitos sobre falência expedida pelo distribuidor da sede do licitante ou, Certidão negativa de insolvência civil expedida pelo distribuidor do domicílio ou sede do licitante, caso se trate de pessoa física, desde que admitida a sua participação na licitação.</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Caso a empresa licitante apresente resultado inferior ou igual a 1 (um) em qualquer dos índices de Liquidez Geral (LG), Solvência Geral (SG) e Liquidez Corrente (LC), será exigido para fins de habilitação patrimônio líquido mínimo de 10% do valor total estimado do item/grupo que a licitante for sagrada vencedora.</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O balanço patrimonial, demonstração de resultado de exercício e demais demonstrações contábeis limitar-se-ão ao último exercício no caso de a pessoa jurídica ter sido constituída há menos de 2 (dois) anos. (Lei nº 14.133, de 2021, art. 69, §6º)</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O atendimento dos índices econômicos previstos neste item deverá ser atestado mediante declaração assinada por profissional habilitado da área contábil, apresentada pelo fornecedor.</w:t>
      </w:r>
    </w:p>
    <w:p>
      <w:pPr>
        <w:pStyle w:val="PargrafodaLista"/>
        <w:tabs>
          <w:tab w:val="left" w:pos="426"/>
        </w:tabs>
        <w:ind w:left="0"/>
        <w:jc w:val="both"/>
        <w:rPr>
          <w:rFonts w:ascii="Cambria" w:hAnsi="Cambria"/>
          <w:bCs/>
          <w:sz w:val="24"/>
          <w:szCs w:val="24"/>
        </w:rPr>
      </w:pPr>
    </w:p>
    <w:p>
      <w:pPr>
        <w:pStyle w:val="PargrafodaLista"/>
        <w:numPr>
          <w:ilvl w:val="0"/>
          <w:numId w:val="35"/>
        </w:numPr>
        <w:tabs>
          <w:tab w:val="left" w:pos="426"/>
        </w:tabs>
        <w:suppressAutoHyphens w:val="0"/>
        <w:spacing w:after="200" w:line="276" w:lineRule="auto"/>
        <w:jc w:val="both"/>
        <w:rPr>
          <w:rFonts w:ascii="Cambria" w:hAnsi="Cambria"/>
          <w:b/>
          <w:sz w:val="24"/>
          <w:szCs w:val="24"/>
        </w:rPr>
      </w:pPr>
      <w:r>
        <w:rPr>
          <w:rFonts w:ascii="Cambria" w:hAnsi="Cambria"/>
          <w:b/>
          <w:sz w:val="24"/>
          <w:szCs w:val="24"/>
        </w:rPr>
        <w:t>Qualificação Técnica</w:t>
      </w:r>
    </w:p>
    <w:p>
      <w:pPr>
        <w:pStyle w:val="PargrafodaLista"/>
        <w:numPr>
          <w:ilvl w:val="1"/>
          <w:numId w:val="35"/>
        </w:numPr>
        <w:tabs>
          <w:tab w:val="left" w:pos="426"/>
        </w:tabs>
        <w:suppressAutoHyphens w:val="0"/>
        <w:spacing w:after="200" w:line="276" w:lineRule="auto"/>
        <w:ind w:left="0" w:firstLine="0"/>
        <w:jc w:val="both"/>
        <w:rPr>
          <w:rFonts w:ascii="Cambria" w:hAnsi="Cambria"/>
          <w:bCs/>
          <w:sz w:val="24"/>
          <w:szCs w:val="24"/>
        </w:rPr>
      </w:pPr>
      <w:r>
        <w:rPr>
          <w:rFonts w:ascii="Cambria" w:hAnsi="Cambria"/>
          <w:bCs/>
          <w:sz w:val="24"/>
          <w:szCs w:val="24"/>
        </w:rPr>
        <w:t>Atestado de desempenho anterior fornecido por pessoa jurídica de direito público ou privado, com identificação do assinante, comprovando aptidão da licitante para desempenho de atividades compatíveis com o objeto da licitação.</w:t>
      </w:r>
    </w:p>
    <w:bookmarkEnd w:id="58"/>
    <w:p>
      <w:pPr>
        <w:pBdr>
          <w:top w:val="single" w:sz="4" w:space="1" w:color="D9D9D9"/>
          <w:left w:val="single" w:sz="4" w:space="4" w:color="D9D9D9"/>
          <w:bottom w:val="single" w:sz="4" w:space="1" w:color="D9D9D9"/>
          <w:right w:val="single" w:sz="4" w:space="4" w:color="D9D9D9"/>
        </w:pBdr>
        <w:tabs>
          <w:tab w:val="left" w:pos="284"/>
          <w:tab w:val="left" w:pos="2525"/>
          <w:tab w:val="center" w:pos="4873"/>
        </w:tabs>
        <w:jc w:val="center"/>
        <w:rPr>
          <w:rFonts w:asciiTheme="majorHAnsi" w:eastAsia="Arial" w:hAnsiTheme="majorHAnsi"/>
          <w:b/>
          <w:sz w:val="24"/>
          <w:szCs w:val="24"/>
        </w:rPr>
      </w:pPr>
      <w:r>
        <w:rPr>
          <w:rFonts w:asciiTheme="majorHAnsi" w:hAnsiTheme="majorHAnsi"/>
        </w:rPr>
        <w:br w:type="page"/>
      </w:r>
    </w:p>
    <w:p>
      <w:pPr>
        <w:tabs>
          <w:tab w:val="left" w:pos="284"/>
          <w:tab w:val="left" w:pos="2525"/>
          <w:tab w:val="center" w:pos="4873"/>
        </w:tabs>
        <w:jc w:val="center"/>
        <w:rPr>
          <w:rFonts w:ascii="Cambria" w:hAnsi="Cambria"/>
          <w:b/>
          <w:sz w:val="24"/>
          <w:szCs w:val="24"/>
        </w:rPr>
      </w:pPr>
      <w:bookmarkStart w:id="64" w:name="_heading=h.1v1yuxt" w:colFirst="0" w:colLast="0"/>
      <w:bookmarkEnd w:id="64"/>
      <w:r>
        <w:rPr>
          <w:rFonts w:ascii="Cambria" w:hAnsi="Cambria"/>
          <w:b/>
          <w:sz w:val="24"/>
          <w:szCs w:val="24"/>
        </w:rPr>
        <w:lastRenderedPageBreak/>
        <w:t>ANEXO II - ESTUDO TÉCNICO PRELIMINAR - ETP</w:t>
      </w:r>
    </w:p>
    <w:p>
      <w:pPr>
        <w:tabs>
          <w:tab w:val="left" w:pos="284"/>
          <w:tab w:val="left" w:pos="2525"/>
          <w:tab w:val="center" w:pos="4873"/>
        </w:tabs>
        <w:jc w:val="right"/>
        <w:rPr>
          <w:rFonts w:ascii="Cambria" w:hAnsi="Cambria"/>
          <w:b/>
          <w:sz w:val="24"/>
          <w:szCs w:val="24"/>
        </w:rPr>
      </w:pPr>
      <w:r>
        <w:rPr>
          <w:rFonts w:ascii="Cambria" w:hAnsi="Cambria"/>
          <w:b/>
          <w:sz w:val="24"/>
          <w:szCs w:val="24"/>
        </w:rPr>
        <w:t>Nº 2025.05.06.001</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1. DESCRIÇÃO DA NECESSIDADE DA CONTRATAÇÃO</w:t>
      </w:r>
    </w:p>
    <w:p>
      <w:pPr>
        <w:ind w:firstLine="708"/>
        <w:jc w:val="both"/>
        <w:rPr>
          <w:rFonts w:ascii="Cambria" w:hAnsi="Cambria"/>
          <w:sz w:val="24"/>
          <w:szCs w:val="24"/>
        </w:rPr>
      </w:pPr>
      <w:r>
        <w:rPr>
          <w:rFonts w:ascii="Cambria" w:hAnsi="Cambria"/>
          <w:sz w:val="24"/>
          <w:szCs w:val="24"/>
        </w:rPr>
        <w:t>A presente contratação tem por finalidade atender à necessidade de renovação, ampliação e padronização da frota de veículos das diversas secretarias da Prefeitura Municipal de Miraíma/CE, visando garantir maior eficiência, agilidade e segurança na execução das atividades administrativas e operacionais, bem como na prestação de serviços públicos essenciais à população.</w:t>
      </w:r>
    </w:p>
    <w:p>
      <w:pPr>
        <w:ind w:firstLine="708"/>
        <w:jc w:val="both"/>
        <w:rPr>
          <w:rFonts w:ascii="Cambria" w:hAnsi="Cambria"/>
          <w:sz w:val="24"/>
          <w:szCs w:val="24"/>
        </w:rPr>
      </w:pPr>
      <w:r>
        <w:rPr>
          <w:rFonts w:ascii="Cambria" w:hAnsi="Cambria"/>
          <w:sz w:val="24"/>
          <w:szCs w:val="24"/>
        </w:rPr>
        <w:t>A atual frota municipal encontra-se, em grande parte, defasada, com veículos antigos, desgastados pelo uso contínuo e de alto custo de manutenção, o que compromete a eficiência dos serviços, ocasiona interrupções frequentes nas atividades e impacta negativamente na produtividade das equipes. Nesse contexto, a aquisição de veículos novos (zero quilômetro) mostra-se necessária para assegurar a continuidade e a qualidade dos serviços prestados à população, otimizando recursos públicos e garantindo maior segurança aos servidores e usuários.</w:t>
      </w:r>
    </w:p>
    <w:p>
      <w:pPr>
        <w:ind w:firstLine="708"/>
        <w:jc w:val="both"/>
        <w:rPr>
          <w:rFonts w:ascii="Cambria" w:hAnsi="Cambria"/>
          <w:sz w:val="24"/>
          <w:szCs w:val="24"/>
        </w:rPr>
      </w:pPr>
      <w:r>
        <w:rPr>
          <w:rFonts w:ascii="Cambria" w:hAnsi="Cambria"/>
          <w:sz w:val="24"/>
          <w:szCs w:val="24"/>
        </w:rPr>
        <w:t>Além disso, a aquisição proporcionará maior controle e planejamento logístico, contribuindo para a modernização da administração pública e o fortalecimento da capacidade de resposta das secretarias às demandas cotidianas.</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2. DEMONSTRAÇÃO DA PREVISÃO DA CONTRATAÇÃO NO PLANO DE CONTRATAÇÕES ANUAL (PCA)</w:t>
      </w:r>
    </w:p>
    <w:p>
      <w:pPr>
        <w:suppressAutoHyphens/>
        <w:ind w:firstLine="567"/>
        <w:jc w:val="both"/>
        <w:rPr>
          <w:rFonts w:ascii="Cambria" w:eastAsia="Times New Roman" w:hAnsi="Cambria"/>
          <w:sz w:val="24"/>
          <w:szCs w:val="24"/>
          <w:lang w:eastAsia="ar-SA"/>
        </w:rPr>
      </w:pPr>
      <w:r>
        <w:rPr>
          <w:rFonts w:ascii="Cambria" w:eastAsia="Times New Roman" w:hAnsi="Cambria"/>
          <w:sz w:val="24"/>
          <w:szCs w:val="24"/>
          <w:lang w:eastAsia="ar-SA"/>
        </w:rPr>
        <w:t xml:space="preserve">A contratação anual prevê a aquisição veículos, garantindo transparência e legalidade nos processos administrativos, conforme a Lei N° 14.133/21, estando previsto no ID 205, 206 e 360 oriundos do </w:t>
      </w:r>
      <w:r>
        <w:rPr>
          <w:rFonts w:ascii="Cambria" w:hAnsi="Cambria"/>
          <w:sz w:val="24"/>
          <w:szCs w:val="24"/>
        </w:rPr>
        <w:t>Plano de Contratações Anual (PCA) do exercício de 2025 da Prefeitura Municipal de Miraíma/CE</w:t>
      </w:r>
      <w:r>
        <w:rPr>
          <w:rFonts w:ascii="Cambria" w:eastAsia="Times New Roman" w:hAnsi="Cambria"/>
          <w:sz w:val="24"/>
          <w:szCs w:val="24"/>
          <w:lang w:eastAsia="ar-SA"/>
        </w:rPr>
        <w:t xml:space="preserve"> de n.º 10517563000105-0-000001/2025.</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3. REQUISITOS DA CONTRATAÇÃO</w:t>
      </w:r>
    </w:p>
    <w:p>
      <w:pPr>
        <w:jc w:val="both"/>
        <w:rPr>
          <w:rFonts w:ascii="Cambria" w:hAnsi="Cambria"/>
          <w:sz w:val="24"/>
          <w:szCs w:val="24"/>
        </w:rPr>
      </w:pPr>
      <w:r>
        <w:rPr>
          <w:rFonts w:ascii="Cambria" w:hAnsi="Cambria"/>
          <w:sz w:val="24"/>
          <w:szCs w:val="24"/>
        </w:rPr>
        <w:t>A contratação deverá atender aos seguintes requisitos mínimos:</w:t>
      </w:r>
    </w:p>
    <w:p>
      <w:pPr>
        <w:numPr>
          <w:ilvl w:val="0"/>
          <w:numId w:val="45"/>
        </w:numPr>
        <w:jc w:val="both"/>
        <w:rPr>
          <w:rFonts w:ascii="Cambria" w:hAnsi="Cambria"/>
          <w:sz w:val="24"/>
          <w:szCs w:val="24"/>
        </w:rPr>
      </w:pPr>
      <w:r>
        <w:rPr>
          <w:rFonts w:ascii="Cambria" w:hAnsi="Cambria"/>
          <w:b/>
          <w:bCs/>
          <w:sz w:val="24"/>
          <w:szCs w:val="24"/>
        </w:rPr>
        <w:t>Estado dos veículos:</w:t>
      </w:r>
      <w:r>
        <w:rPr>
          <w:rFonts w:ascii="Cambria" w:hAnsi="Cambria"/>
          <w:sz w:val="24"/>
          <w:szCs w:val="24"/>
        </w:rPr>
        <w:t xml:space="preserve"> todos os veículos devem ser zero quilômetro, sem qualquer tipo de uso anterior, com quilometragem compatível apenas com testes de fábrica e deslocamento até o local de entrega.</w:t>
      </w:r>
    </w:p>
    <w:p>
      <w:pPr>
        <w:numPr>
          <w:ilvl w:val="0"/>
          <w:numId w:val="45"/>
        </w:numPr>
        <w:jc w:val="both"/>
        <w:rPr>
          <w:rFonts w:ascii="Cambria" w:hAnsi="Cambria"/>
          <w:sz w:val="24"/>
          <w:szCs w:val="24"/>
        </w:rPr>
      </w:pPr>
      <w:r>
        <w:rPr>
          <w:rFonts w:ascii="Cambria" w:hAnsi="Cambria"/>
          <w:b/>
          <w:bCs/>
          <w:sz w:val="24"/>
          <w:szCs w:val="24"/>
        </w:rPr>
        <w:t>Licenciamento:</w:t>
      </w:r>
      <w:r>
        <w:rPr>
          <w:rFonts w:ascii="Cambria" w:hAnsi="Cambria"/>
          <w:sz w:val="24"/>
          <w:szCs w:val="24"/>
        </w:rPr>
        <w:t xml:space="preserve"> os veículos deverão ser entregues devidamente licenciados junto ao DETRAN/CE, com IPVA e demais encargos obrigatórios do exercício de 2025 quitados, emplacados em nome do Município de Miraíma/CE, sem ônus adicional para a Administração.</w:t>
      </w:r>
    </w:p>
    <w:p>
      <w:pPr>
        <w:numPr>
          <w:ilvl w:val="0"/>
          <w:numId w:val="45"/>
        </w:numPr>
        <w:jc w:val="both"/>
        <w:rPr>
          <w:rFonts w:ascii="Cambria" w:hAnsi="Cambria"/>
          <w:sz w:val="24"/>
          <w:szCs w:val="24"/>
        </w:rPr>
      </w:pPr>
      <w:r>
        <w:rPr>
          <w:rFonts w:ascii="Cambria" w:hAnsi="Cambria"/>
          <w:b/>
          <w:bCs/>
          <w:sz w:val="24"/>
          <w:szCs w:val="24"/>
        </w:rPr>
        <w:t>Cor obrigatória:</w:t>
      </w:r>
      <w:r>
        <w:rPr>
          <w:rFonts w:ascii="Cambria" w:hAnsi="Cambria"/>
          <w:sz w:val="24"/>
          <w:szCs w:val="24"/>
        </w:rPr>
        <w:t xml:space="preserve"> a pintura de todos os veículos deverá ser na cor branca (exceto motocicletas, que devem ser vermelhas), conforme especificação padrão para identificação da frota oficial do Município.</w:t>
      </w:r>
    </w:p>
    <w:p>
      <w:pPr>
        <w:pStyle w:val="NormalWeb"/>
        <w:numPr>
          <w:ilvl w:val="0"/>
          <w:numId w:val="45"/>
        </w:numPr>
        <w:jc w:val="both"/>
        <w:rPr>
          <w:rFonts w:ascii="Cambria" w:hAnsi="Cambria"/>
        </w:rPr>
      </w:pPr>
      <w:r>
        <w:rPr>
          <w:rStyle w:val="Forte"/>
          <w:rFonts w:ascii="Cambria" w:eastAsiaTheme="majorEastAsia" w:hAnsi="Cambria"/>
        </w:rPr>
        <w:t>Documentação:</w:t>
      </w:r>
      <w:r>
        <w:rPr>
          <w:rFonts w:ascii="Cambria" w:hAnsi="Cambria"/>
        </w:rPr>
        <w:t xml:space="preserve"> todos os veículos deverão ser entregues com manual do proprietário, certificado de garantia e demais documentos de registro, emplacamento e transferência.</w:t>
      </w:r>
    </w:p>
    <w:p>
      <w:pPr>
        <w:pStyle w:val="NormalWeb"/>
        <w:numPr>
          <w:ilvl w:val="0"/>
          <w:numId w:val="45"/>
        </w:numPr>
        <w:jc w:val="both"/>
        <w:rPr>
          <w:rFonts w:ascii="Cambria" w:hAnsi="Cambria"/>
        </w:rPr>
      </w:pPr>
      <w:r>
        <w:rPr>
          <w:rStyle w:val="Forte"/>
          <w:rFonts w:ascii="Cambria" w:eastAsiaTheme="majorEastAsia" w:hAnsi="Cambria"/>
        </w:rPr>
        <w:t>Entrega:</w:t>
      </w:r>
      <w:r>
        <w:rPr>
          <w:rFonts w:ascii="Cambria" w:hAnsi="Cambria"/>
        </w:rPr>
        <w:t xml:space="preserve"> a entrega deverá ocorrer no Município de Miraíma/CE, em local indicado pela Administração, dentro do prazo estabelecido em edital, com os veículos prontos para uso imediato.</w:t>
      </w:r>
    </w:p>
    <w:p>
      <w:pPr>
        <w:pStyle w:val="NormalWeb"/>
        <w:numPr>
          <w:ilvl w:val="0"/>
          <w:numId w:val="45"/>
        </w:numPr>
        <w:spacing w:after="0"/>
        <w:jc w:val="both"/>
        <w:rPr>
          <w:rFonts w:ascii="Cambria" w:hAnsi="Cambria"/>
          <w:b/>
          <w:bCs/>
        </w:rPr>
      </w:pPr>
      <w:r>
        <w:rPr>
          <w:rStyle w:val="Forte"/>
          <w:rFonts w:ascii="Cambria" w:eastAsiaTheme="majorEastAsia" w:hAnsi="Cambria"/>
        </w:rPr>
        <w:lastRenderedPageBreak/>
        <w:t>Garantia mínima:</w:t>
      </w:r>
      <w:r>
        <w:rPr>
          <w:rFonts w:ascii="Cambria" w:hAnsi="Cambria"/>
        </w:rPr>
        <w:t xml:space="preserve"> todos os veículos deverão possuir garantia de fábrica de, no mínimo, 36 (trinta e seis) meses, conforme o padrão ofertado pelo fabricante, sendo garantido o atendimento por rede autorizada no Estado do Ceará.</w:t>
      </w:r>
    </w:p>
    <w:p>
      <w:pPr>
        <w:jc w:val="both"/>
        <w:rPr>
          <w:rFonts w:ascii="Cambria" w:hAnsi="Cambria"/>
          <w:b/>
          <w:bCs/>
          <w:sz w:val="24"/>
          <w:szCs w:val="24"/>
        </w:rPr>
      </w:pPr>
      <w:r>
        <w:rPr>
          <w:rFonts w:ascii="Cambria" w:hAnsi="Cambria"/>
          <w:b/>
          <w:bCs/>
          <w:sz w:val="24"/>
          <w:szCs w:val="24"/>
        </w:rPr>
        <w:t>4. ESTIMATIVAS DAS QUANTIDADES PARA A CONTRATAÇÃO</w:t>
      </w:r>
    </w:p>
    <w:p>
      <w:pPr>
        <w:jc w:val="both"/>
        <w:rPr>
          <w:rFonts w:ascii="Cambria" w:hAnsi="Cambria"/>
          <w:sz w:val="24"/>
          <w:szCs w:val="24"/>
        </w:rPr>
      </w:pPr>
      <w:r>
        <w:rPr>
          <w:rFonts w:ascii="Cambria" w:hAnsi="Cambria"/>
          <w:sz w:val="24"/>
          <w:szCs w:val="24"/>
        </w:rPr>
        <w:t>Considerando as necessidades operacionais das diversas secretarias do Município de Miraíma/CE, estima-se a aquisição de um total de 11 (onze) veículos automotores novos, zero quilômetro, conforme a seguinte distribuição:</w:t>
      </w:r>
    </w:p>
    <w:p>
      <w:pPr>
        <w:numPr>
          <w:ilvl w:val="0"/>
          <w:numId w:val="46"/>
        </w:numPr>
        <w:jc w:val="both"/>
        <w:rPr>
          <w:rFonts w:ascii="Cambria" w:hAnsi="Cambria"/>
          <w:sz w:val="24"/>
          <w:szCs w:val="24"/>
        </w:rPr>
      </w:pPr>
      <w:r>
        <w:rPr>
          <w:rFonts w:ascii="Cambria" w:hAnsi="Cambria"/>
          <w:b/>
          <w:bCs/>
          <w:sz w:val="24"/>
          <w:szCs w:val="24"/>
        </w:rPr>
        <w:t>04 (quatro) motocicletas</w:t>
      </w:r>
      <w:r>
        <w:rPr>
          <w:rFonts w:ascii="Cambria" w:hAnsi="Cambria"/>
          <w:sz w:val="24"/>
          <w:szCs w:val="24"/>
        </w:rPr>
        <w:t xml:space="preserve"> zero quilômetro, com motorização mínima de 160cc, destinadas ao uso em atividades externas de fiscalização, visitas técnicas, serviços administrativos em áreas de difícil acesso, bem como deslocamentos rápidos em zonas urbanas e rurais.</w:t>
      </w:r>
    </w:p>
    <w:p>
      <w:pPr>
        <w:numPr>
          <w:ilvl w:val="0"/>
          <w:numId w:val="46"/>
        </w:numPr>
        <w:jc w:val="both"/>
        <w:rPr>
          <w:rFonts w:ascii="Cambria" w:hAnsi="Cambria"/>
          <w:sz w:val="24"/>
          <w:szCs w:val="24"/>
        </w:rPr>
      </w:pPr>
      <w:r>
        <w:rPr>
          <w:rFonts w:ascii="Cambria" w:hAnsi="Cambria"/>
          <w:b/>
          <w:bCs/>
          <w:sz w:val="24"/>
          <w:szCs w:val="24"/>
        </w:rPr>
        <w:t>06 (seis) veículos de passeio com 5 lugares</w:t>
      </w:r>
      <w:r>
        <w:rPr>
          <w:rFonts w:ascii="Cambria" w:hAnsi="Cambria"/>
          <w:sz w:val="24"/>
          <w:szCs w:val="24"/>
        </w:rPr>
        <w:t>, total flex, destinados ao transporte de servidores e equipes técnicas para execução de atividades administrativas, sociais, de saúde, agricultura, meio ambiente e demais serviços públicos essenciais.</w:t>
      </w:r>
    </w:p>
    <w:p>
      <w:pPr>
        <w:numPr>
          <w:ilvl w:val="0"/>
          <w:numId w:val="46"/>
        </w:numPr>
        <w:jc w:val="both"/>
        <w:rPr>
          <w:rFonts w:ascii="Cambria" w:hAnsi="Cambria"/>
          <w:sz w:val="24"/>
          <w:szCs w:val="24"/>
        </w:rPr>
      </w:pPr>
      <w:r>
        <w:rPr>
          <w:rFonts w:ascii="Cambria" w:hAnsi="Cambria"/>
          <w:b/>
          <w:bCs/>
          <w:sz w:val="24"/>
          <w:szCs w:val="24"/>
        </w:rPr>
        <w:t>01 (um) veículo tipo pick-up cabine dupla</w:t>
      </w:r>
      <w:r>
        <w:rPr>
          <w:rFonts w:ascii="Cambria" w:hAnsi="Cambria"/>
          <w:sz w:val="24"/>
          <w:szCs w:val="24"/>
        </w:rPr>
        <w:t>, com motorização mínima de 1.6, destinado a ações que demandam transporte simultâneo de pessoal e materiais, especialmente em zonas rurais, em apoio às atividades operacionais de secretarias como Infraestrutura, Agricultura e Serviços Urbanos.</w:t>
      </w:r>
    </w:p>
    <w:p>
      <w:pPr>
        <w:jc w:val="both"/>
        <w:rPr>
          <w:rFonts w:ascii="Cambria" w:hAnsi="Cambria"/>
          <w:sz w:val="24"/>
          <w:szCs w:val="24"/>
        </w:rPr>
      </w:pPr>
      <w:r>
        <w:rPr>
          <w:rFonts w:ascii="Cambria" w:hAnsi="Cambria"/>
          <w:sz w:val="24"/>
          <w:szCs w:val="24"/>
        </w:rPr>
        <w:t>A definição das quantidades considerou o atual estado da frota municipal, a ausência ou deficiência de veículos próprios em algumas secretarias, e a necessidade de assegurar maior eficiência, economia e agilidade na execução das políticas públicas ao longo do exercício de 2025.</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5. LEVANTAMENTO DE MERCADO</w:t>
      </w:r>
    </w:p>
    <w:p>
      <w:pPr>
        <w:ind w:firstLine="567"/>
        <w:jc w:val="both"/>
        <w:rPr>
          <w:rFonts w:ascii="Cambria" w:hAnsi="Cambria"/>
          <w:sz w:val="24"/>
          <w:szCs w:val="24"/>
        </w:rPr>
      </w:pPr>
      <w:r>
        <w:rPr>
          <w:rFonts w:ascii="Cambria" w:hAnsi="Cambria"/>
          <w:sz w:val="24"/>
          <w:szCs w:val="24"/>
        </w:rPr>
        <w:t xml:space="preserve">Para atender às necessidades operacionais das diversas secretarias do Município de Miraíma/CE, foram analisadas duas alternativas de solução: a aquisição definitiva e a locação de veículos automotores. </w:t>
      </w:r>
    </w:p>
    <w:p>
      <w:pPr>
        <w:jc w:val="both"/>
        <w:rPr>
          <w:rFonts w:ascii="Cambria" w:hAnsi="Cambria"/>
          <w:b/>
          <w:bCs/>
          <w:sz w:val="24"/>
          <w:szCs w:val="24"/>
        </w:rPr>
      </w:pPr>
      <w:r>
        <w:rPr>
          <w:rFonts w:ascii="Cambria" w:hAnsi="Cambria"/>
          <w:b/>
          <w:bCs/>
          <w:sz w:val="24"/>
          <w:szCs w:val="24"/>
        </w:rPr>
        <w:t>OPÇÃO 01 – AQUISIÇÃO DOS VEÍCULOS</w:t>
      </w:r>
    </w:p>
    <w:p>
      <w:pPr>
        <w:ind w:firstLine="567"/>
        <w:jc w:val="both"/>
        <w:rPr>
          <w:rFonts w:ascii="Cambria" w:hAnsi="Cambria"/>
          <w:sz w:val="24"/>
          <w:szCs w:val="24"/>
        </w:rPr>
      </w:pPr>
      <w:r>
        <w:rPr>
          <w:rFonts w:ascii="Cambria" w:hAnsi="Cambria"/>
          <w:b/>
          <w:bCs/>
          <w:sz w:val="24"/>
          <w:szCs w:val="24"/>
        </w:rPr>
        <w:t>Pontos positivos:</w:t>
      </w:r>
    </w:p>
    <w:p>
      <w:pPr>
        <w:numPr>
          <w:ilvl w:val="0"/>
          <w:numId w:val="47"/>
        </w:numPr>
        <w:jc w:val="both"/>
        <w:rPr>
          <w:rFonts w:ascii="Cambria" w:hAnsi="Cambria"/>
          <w:sz w:val="24"/>
          <w:szCs w:val="24"/>
        </w:rPr>
      </w:pPr>
      <w:r>
        <w:rPr>
          <w:rFonts w:ascii="Cambria" w:hAnsi="Cambria"/>
          <w:b/>
          <w:bCs/>
          <w:sz w:val="24"/>
          <w:szCs w:val="24"/>
        </w:rPr>
        <w:t>Economia no longo prazo:</w:t>
      </w:r>
      <w:r>
        <w:rPr>
          <w:rFonts w:ascii="Cambria" w:hAnsi="Cambria"/>
          <w:sz w:val="24"/>
          <w:szCs w:val="24"/>
        </w:rPr>
        <w:t xml:space="preserve"> a aquisição direta dos veículos representa uma economia significativa ao longo do tempo, sobretudo considerando que, após o período de amortização, os veículos continuarão disponíveis para uso sem custos contratuais.</w:t>
      </w:r>
    </w:p>
    <w:p>
      <w:pPr>
        <w:numPr>
          <w:ilvl w:val="0"/>
          <w:numId w:val="47"/>
        </w:numPr>
        <w:jc w:val="both"/>
        <w:rPr>
          <w:rFonts w:ascii="Cambria" w:hAnsi="Cambria"/>
          <w:sz w:val="24"/>
          <w:szCs w:val="24"/>
        </w:rPr>
      </w:pPr>
      <w:r>
        <w:rPr>
          <w:rFonts w:ascii="Cambria" w:hAnsi="Cambria"/>
          <w:b/>
          <w:bCs/>
          <w:sz w:val="24"/>
          <w:szCs w:val="24"/>
        </w:rPr>
        <w:t>Incorporação ao patrimônio público:</w:t>
      </w:r>
      <w:r>
        <w:rPr>
          <w:rFonts w:ascii="Cambria" w:hAnsi="Cambria"/>
          <w:sz w:val="24"/>
          <w:szCs w:val="24"/>
        </w:rPr>
        <w:t xml:space="preserve"> os veículos passam a integrar o patrimônio do Município, podendo ser utilizados conforme a conveniência da Administração e revertidos futuramente em receita, via leilão ou permuta.</w:t>
      </w:r>
    </w:p>
    <w:p>
      <w:pPr>
        <w:numPr>
          <w:ilvl w:val="0"/>
          <w:numId w:val="47"/>
        </w:numPr>
        <w:jc w:val="both"/>
        <w:rPr>
          <w:rFonts w:ascii="Cambria" w:hAnsi="Cambria"/>
          <w:sz w:val="24"/>
          <w:szCs w:val="24"/>
        </w:rPr>
      </w:pPr>
      <w:r>
        <w:rPr>
          <w:rFonts w:ascii="Cambria" w:hAnsi="Cambria"/>
          <w:b/>
          <w:bCs/>
          <w:sz w:val="24"/>
          <w:szCs w:val="24"/>
        </w:rPr>
        <w:t>Autonomia e disponibilidade:</w:t>
      </w:r>
      <w:r>
        <w:rPr>
          <w:rFonts w:ascii="Cambria" w:hAnsi="Cambria"/>
          <w:sz w:val="24"/>
          <w:szCs w:val="24"/>
        </w:rPr>
        <w:t xml:space="preserve"> a posse dos veículos confere maior controle sobre a utilização, gestão da frota e identidade visual padronizada.</w:t>
      </w:r>
    </w:p>
    <w:p>
      <w:pPr>
        <w:numPr>
          <w:ilvl w:val="0"/>
          <w:numId w:val="47"/>
        </w:numPr>
        <w:jc w:val="both"/>
        <w:rPr>
          <w:rFonts w:ascii="Cambria" w:hAnsi="Cambria"/>
          <w:sz w:val="24"/>
          <w:szCs w:val="24"/>
        </w:rPr>
      </w:pPr>
      <w:r>
        <w:rPr>
          <w:rFonts w:ascii="Cambria" w:hAnsi="Cambria"/>
          <w:b/>
          <w:bCs/>
          <w:sz w:val="24"/>
          <w:szCs w:val="24"/>
        </w:rPr>
        <w:t>Padronização e personalização:</w:t>
      </w:r>
      <w:r>
        <w:rPr>
          <w:rFonts w:ascii="Cambria" w:hAnsi="Cambria"/>
          <w:sz w:val="24"/>
          <w:szCs w:val="24"/>
        </w:rPr>
        <w:t xml:space="preserve"> a aquisição permite atender exatamente às especificações técnicas de interesse do Município, incluindo potência, tipo de combustível, número de ocupantes, tipo de tração, cor e demais itens de fábrica.</w:t>
      </w:r>
    </w:p>
    <w:p>
      <w:pPr>
        <w:ind w:firstLine="567"/>
        <w:jc w:val="both"/>
        <w:rPr>
          <w:rFonts w:ascii="Cambria" w:hAnsi="Cambria"/>
          <w:sz w:val="24"/>
          <w:szCs w:val="24"/>
        </w:rPr>
      </w:pPr>
      <w:r>
        <w:rPr>
          <w:rFonts w:ascii="Cambria" w:hAnsi="Cambria"/>
          <w:b/>
          <w:bCs/>
          <w:sz w:val="24"/>
          <w:szCs w:val="24"/>
        </w:rPr>
        <w:t>Pontos negativos:</w:t>
      </w:r>
    </w:p>
    <w:p>
      <w:pPr>
        <w:numPr>
          <w:ilvl w:val="0"/>
          <w:numId w:val="48"/>
        </w:numPr>
        <w:jc w:val="both"/>
        <w:rPr>
          <w:rFonts w:ascii="Cambria" w:hAnsi="Cambria"/>
          <w:sz w:val="24"/>
          <w:szCs w:val="24"/>
        </w:rPr>
      </w:pPr>
      <w:r>
        <w:rPr>
          <w:rFonts w:ascii="Cambria" w:hAnsi="Cambria"/>
          <w:b/>
          <w:bCs/>
          <w:sz w:val="24"/>
          <w:szCs w:val="24"/>
        </w:rPr>
        <w:t>Desembolso inicial elevado:</w:t>
      </w:r>
      <w:r>
        <w:rPr>
          <w:rFonts w:ascii="Cambria" w:hAnsi="Cambria"/>
          <w:sz w:val="24"/>
          <w:szCs w:val="24"/>
        </w:rPr>
        <w:t xml:space="preserve"> exige dotação orçamentária imediata para a compra dos veículos.</w:t>
      </w:r>
    </w:p>
    <w:p>
      <w:pPr>
        <w:numPr>
          <w:ilvl w:val="0"/>
          <w:numId w:val="48"/>
        </w:numPr>
        <w:jc w:val="both"/>
        <w:rPr>
          <w:rFonts w:ascii="Cambria" w:hAnsi="Cambria"/>
          <w:sz w:val="24"/>
          <w:szCs w:val="24"/>
        </w:rPr>
      </w:pPr>
      <w:r>
        <w:rPr>
          <w:rFonts w:ascii="Cambria" w:hAnsi="Cambria"/>
          <w:b/>
          <w:bCs/>
          <w:sz w:val="24"/>
          <w:szCs w:val="24"/>
        </w:rPr>
        <w:lastRenderedPageBreak/>
        <w:t>Gestão da frota própria:</w:t>
      </w:r>
      <w:r>
        <w:rPr>
          <w:rFonts w:ascii="Cambria" w:hAnsi="Cambria"/>
          <w:sz w:val="24"/>
          <w:szCs w:val="24"/>
        </w:rPr>
        <w:t xml:space="preserve"> implica responsabilidade pela manutenção, licenciamento, abastecimento e conservação dos bens.</w:t>
      </w:r>
    </w:p>
    <w:p>
      <w:pPr>
        <w:numPr>
          <w:ilvl w:val="0"/>
          <w:numId w:val="48"/>
        </w:numPr>
        <w:jc w:val="both"/>
        <w:rPr>
          <w:rFonts w:ascii="Cambria" w:hAnsi="Cambria"/>
          <w:sz w:val="24"/>
          <w:szCs w:val="24"/>
        </w:rPr>
      </w:pPr>
      <w:r>
        <w:rPr>
          <w:rFonts w:ascii="Cambria" w:hAnsi="Cambria"/>
          <w:b/>
          <w:bCs/>
          <w:sz w:val="24"/>
          <w:szCs w:val="24"/>
        </w:rPr>
        <w:t>Risco de obsolescência:</w:t>
      </w:r>
      <w:r>
        <w:rPr>
          <w:rFonts w:ascii="Cambria" w:hAnsi="Cambria"/>
          <w:sz w:val="24"/>
          <w:szCs w:val="24"/>
        </w:rPr>
        <w:t xml:space="preserve"> os veículos sofrem depreciação e podem ser superados por modelos mais modernos com o passar dos anos.</w:t>
      </w:r>
    </w:p>
    <w:p>
      <w:pPr>
        <w:numPr>
          <w:ilvl w:val="0"/>
          <w:numId w:val="48"/>
        </w:numPr>
        <w:jc w:val="both"/>
        <w:rPr>
          <w:rFonts w:ascii="Cambria" w:hAnsi="Cambria"/>
          <w:sz w:val="24"/>
          <w:szCs w:val="24"/>
        </w:rPr>
      </w:pPr>
      <w:r>
        <w:rPr>
          <w:rFonts w:ascii="Cambria" w:hAnsi="Cambria"/>
          <w:b/>
          <w:bCs/>
          <w:sz w:val="24"/>
          <w:szCs w:val="24"/>
        </w:rPr>
        <w:t>Manutenção após a garantia:</w:t>
      </w:r>
      <w:r>
        <w:rPr>
          <w:rFonts w:ascii="Cambria" w:hAnsi="Cambria"/>
          <w:sz w:val="24"/>
          <w:szCs w:val="24"/>
        </w:rPr>
        <w:t xml:space="preserve"> findo o período de cobertura de fábrica, os custos com manutenções corretivas passam a ser integralmente arcados pela Administração.</w:t>
      </w:r>
    </w:p>
    <w:p>
      <w:pPr>
        <w:jc w:val="both"/>
        <w:rPr>
          <w:rFonts w:ascii="Cambria" w:hAnsi="Cambria"/>
          <w:b/>
          <w:bCs/>
          <w:sz w:val="24"/>
          <w:szCs w:val="24"/>
        </w:rPr>
      </w:pPr>
      <w:r>
        <w:rPr>
          <w:rFonts w:ascii="Cambria" w:hAnsi="Cambria"/>
          <w:b/>
          <w:bCs/>
          <w:sz w:val="24"/>
          <w:szCs w:val="24"/>
        </w:rPr>
        <w:t>OPÇÃO 02 – LOCAÇÃO DOS VEÍCULOS</w:t>
      </w:r>
    </w:p>
    <w:p>
      <w:pPr>
        <w:ind w:firstLine="567"/>
        <w:jc w:val="both"/>
        <w:rPr>
          <w:rFonts w:ascii="Cambria" w:hAnsi="Cambria"/>
          <w:sz w:val="24"/>
          <w:szCs w:val="24"/>
        </w:rPr>
      </w:pPr>
      <w:r>
        <w:rPr>
          <w:rFonts w:ascii="Cambria" w:hAnsi="Cambria"/>
          <w:b/>
          <w:bCs/>
          <w:sz w:val="24"/>
          <w:szCs w:val="24"/>
        </w:rPr>
        <w:t>Pontos positivos:</w:t>
      </w:r>
    </w:p>
    <w:p>
      <w:pPr>
        <w:numPr>
          <w:ilvl w:val="0"/>
          <w:numId w:val="49"/>
        </w:numPr>
        <w:jc w:val="both"/>
        <w:rPr>
          <w:rFonts w:ascii="Cambria" w:hAnsi="Cambria"/>
          <w:sz w:val="24"/>
          <w:szCs w:val="24"/>
        </w:rPr>
      </w:pPr>
      <w:r>
        <w:rPr>
          <w:rFonts w:ascii="Cambria" w:hAnsi="Cambria"/>
          <w:b/>
          <w:bCs/>
          <w:sz w:val="24"/>
          <w:szCs w:val="24"/>
        </w:rPr>
        <w:t>Previsibilidade orçamentária:</w:t>
      </w:r>
      <w:r>
        <w:rPr>
          <w:rFonts w:ascii="Cambria" w:hAnsi="Cambria"/>
          <w:sz w:val="24"/>
          <w:szCs w:val="24"/>
        </w:rPr>
        <w:t xml:space="preserve"> os valores mensais contratados permanecem estáveis durante a vigência contratual, facilitando o planejamento financeiro.</w:t>
      </w:r>
    </w:p>
    <w:p>
      <w:pPr>
        <w:numPr>
          <w:ilvl w:val="0"/>
          <w:numId w:val="49"/>
        </w:numPr>
        <w:jc w:val="both"/>
        <w:rPr>
          <w:rFonts w:ascii="Cambria" w:hAnsi="Cambria"/>
          <w:sz w:val="24"/>
          <w:szCs w:val="24"/>
        </w:rPr>
      </w:pPr>
      <w:r>
        <w:rPr>
          <w:rFonts w:ascii="Cambria" w:hAnsi="Cambria"/>
          <w:b/>
          <w:bCs/>
          <w:sz w:val="24"/>
          <w:szCs w:val="24"/>
        </w:rPr>
        <w:t>Menor ônus operacional:</w:t>
      </w:r>
      <w:r>
        <w:rPr>
          <w:rFonts w:ascii="Cambria" w:hAnsi="Cambria"/>
          <w:sz w:val="24"/>
          <w:szCs w:val="24"/>
        </w:rPr>
        <w:t xml:space="preserve"> os custos com manutenção preventiva e corretiva, seguro e licenciamento, em geral, são de responsabilidade da locadora.</w:t>
      </w:r>
    </w:p>
    <w:p>
      <w:pPr>
        <w:numPr>
          <w:ilvl w:val="0"/>
          <w:numId w:val="49"/>
        </w:numPr>
        <w:jc w:val="both"/>
        <w:rPr>
          <w:rFonts w:ascii="Cambria" w:hAnsi="Cambria"/>
          <w:sz w:val="24"/>
          <w:szCs w:val="24"/>
        </w:rPr>
      </w:pPr>
      <w:r>
        <w:rPr>
          <w:rFonts w:ascii="Cambria" w:hAnsi="Cambria"/>
          <w:b/>
          <w:bCs/>
          <w:sz w:val="24"/>
          <w:szCs w:val="24"/>
        </w:rPr>
        <w:t>Atualização tecnológica:</w:t>
      </w:r>
      <w:r>
        <w:rPr>
          <w:rFonts w:ascii="Cambria" w:hAnsi="Cambria"/>
          <w:sz w:val="24"/>
          <w:szCs w:val="24"/>
        </w:rPr>
        <w:t xml:space="preserve"> a cada renovação contratual, é possível substituir a frota por modelos mais atuais.</w:t>
      </w:r>
    </w:p>
    <w:p>
      <w:pPr>
        <w:numPr>
          <w:ilvl w:val="0"/>
          <w:numId w:val="49"/>
        </w:numPr>
        <w:jc w:val="both"/>
        <w:rPr>
          <w:rFonts w:ascii="Cambria" w:hAnsi="Cambria"/>
          <w:sz w:val="24"/>
          <w:szCs w:val="24"/>
        </w:rPr>
      </w:pPr>
      <w:r>
        <w:rPr>
          <w:rFonts w:ascii="Cambria" w:hAnsi="Cambria"/>
          <w:b/>
          <w:bCs/>
          <w:sz w:val="24"/>
          <w:szCs w:val="24"/>
        </w:rPr>
        <w:t>Substituição imediata:</w:t>
      </w:r>
      <w:r>
        <w:rPr>
          <w:rFonts w:ascii="Cambria" w:hAnsi="Cambria"/>
          <w:sz w:val="24"/>
          <w:szCs w:val="24"/>
        </w:rPr>
        <w:t xml:space="preserve"> em caso de falha mecânica, a empresa locadora pode oferecer veículos reservas, minimizando a interrupção dos serviços.</w:t>
      </w:r>
    </w:p>
    <w:p>
      <w:pPr>
        <w:ind w:firstLine="567"/>
        <w:jc w:val="both"/>
        <w:rPr>
          <w:rFonts w:ascii="Cambria" w:hAnsi="Cambria"/>
          <w:sz w:val="24"/>
          <w:szCs w:val="24"/>
        </w:rPr>
      </w:pPr>
      <w:r>
        <w:rPr>
          <w:rFonts w:ascii="Cambria" w:hAnsi="Cambria"/>
          <w:b/>
          <w:bCs/>
          <w:sz w:val="24"/>
          <w:szCs w:val="24"/>
        </w:rPr>
        <w:t>Pontos negativos:</w:t>
      </w:r>
    </w:p>
    <w:p>
      <w:pPr>
        <w:numPr>
          <w:ilvl w:val="0"/>
          <w:numId w:val="50"/>
        </w:numPr>
        <w:jc w:val="both"/>
        <w:rPr>
          <w:rFonts w:ascii="Cambria" w:hAnsi="Cambria"/>
          <w:sz w:val="24"/>
          <w:szCs w:val="24"/>
        </w:rPr>
      </w:pPr>
      <w:r>
        <w:rPr>
          <w:rFonts w:ascii="Cambria" w:hAnsi="Cambria"/>
          <w:b/>
          <w:bCs/>
          <w:sz w:val="24"/>
          <w:szCs w:val="24"/>
        </w:rPr>
        <w:t>Custo total superior:</w:t>
      </w:r>
      <w:r>
        <w:rPr>
          <w:rFonts w:ascii="Cambria" w:hAnsi="Cambria"/>
          <w:sz w:val="24"/>
          <w:szCs w:val="24"/>
        </w:rPr>
        <w:t xml:space="preserve"> estudos demonstram que, no longo prazo, a locação de veículos é até 30% mais onerosa que a aquisição direta.</w:t>
      </w:r>
    </w:p>
    <w:p>
      <w:pPr>
        <w:numPr>
          <w:ilvl w:val="0"/>
          <w:numId w:val="50"/>
        </w:numPr>
        <w:jc w:val="both"/>
        <w:rPr>
          <w:rFonts w:ascii="Cambria" w:hAnsi="Cambria"/>
          <w:sz w:val="24"/>
          <w:szCs w:val="24"/>
        </w:rPr>
      </w:pPr>
      <w:r>
        <w:rPr>
          <w:rFonts w:ascii="Cambria" w:hAnsi="Cambria"/>
          <w:b/>
          <w:bCs/>
          <w:sz w:val="24"/>
          <w:szCs w:val="24"/>
        </w:rPr>
        <w:t>Não gera patrimônio público:</w:t>
      </w:r>
      <w:r>
        <w:rPr>
          <w:rFonts w:ascii="Cambria" w:hAnsi="Cambria"/>
          <w:sz w:val="24"/>
          <w:szCs w:val="24"/>
        </w:rPr>
        <w:t xml:space="preserve"> ao fim do contrato, os veículos não integram o ativo da Administração.</w:t>
      </w:r>
    </w:p>
    <w:p>
      <w:pPr>
        <w:numPr>
          <w:ilvl w:val="0"/>
          <w:numId w:val="50"/>
        </w:numPr>
        <w:jc w:val="both"/>
        <w:rPr>
          <w:rFonts w:ascii="Cambria" w:hAnsi="Cambria"/>
          <w:sz w:val="24"/>
          <w:szCs w:val="24"/>
        </w:rPr>
      </w:pPr>
      <w:r>
        <w:rPr>
          <w:rFonts w:ascii="Cambria" w:hAnsi="Cambria"/>
          <w:b/>
          <w:bCs/>
          <w:sz w:val="24"/>
          <w:szCs w:val="24"/>
        </w:rPr>
        <w:t>Dependência contratual:</w:t>
      </w:r>
      <w:r>
        <w:rPr>
          <w:rFonts w:ascii="Cambria" w:hAnsi="Cambria"/>
          <w:sz w:val="24"/>
          <w:szCs w:val="24"/>
        </w:rPr>
        <w:t xml:space="preserve"> interrupções contratuais podem comprometer a continuidade das atividades.</w:t>
      </w:r>
    </w:p>
    <w:p>
      <w:pPr>
        <w:numPr>
          <w:ilvl w:val="0"/>
          <w:numId w:val="50"/>
        </w:numPr>
        <w:jc w:val="both"/>
        <w:rPr>
          <w:rFonts w:ascii="Cambria" w:hAnsi="Cambria"/>
          <w:sz w:val="24"/>
          <w:szCs w:val="24"/>
        </w:rPr>
      </w:pPr>
      <w:r>
        <w:rPr>
          <w:rFonts w:ascii="Cambria" w:hAnsi="Cambria"/>
          <w:b/>
          <w:bCs/>
          <w:sz w:val="24"/>
          <w:szCs w:val="24"/>
        </w:rPr>
        <w:t>Restrições de uso:</w:t>
      </w:r>
      <w:r>
        <w:rPr>
          <w:rFonts w:ascii="Cambria" w:hAnsi="Cambria"/>
          <w:sz w:val="24"/>
          <w:szCs w:val="24"/>
        </w:rPr>
        <w:t xml:space="preserve"> cláusulas contratuais costumam limitar quilometragem, personalização e modificações nos veículos.</w:t>
      </w:r>
    </w:p>
    <w:p>
      <w:pPr>
        <w:jc w:val="both"/>
        <w:rPr>
          <w:rFonts w:ascii="Cambria" w:hAnsi="Cambria"/>
          <w:b/>
          <w:bCs/>
          <w:sz w:val="24"/>
          <w:szCs w:val="24"/>
        </w:rPr>
      </w:pPr>
      <w:r>
        <w:rPr>
          <w:rFonts w:ascii="Cambria" w:hAnsi="Cambria"/>
          <w:b/>
          <w:bCs/>
          <w:sz w:val="24"/>
          <w:szCs w:val="24"/>
        </w:rPr>
        <w:t>CONCLUSÃO TÉCNICA</w:t>
      </w:r>
    </w:p>
    <w:p>
      <w:pPr>
        <w:ind w:firstLine="567"/>
        <w:jc w:val="both"/>
        <w:rPr>
          <w:rFonts w:ascii="Cambria" w:hAnsi="Cambria"/>
          <w:sz w:val="24"/>
          <w:szCs w:val="24"/>
        </w:rPr>
      </w:pPr>
      <w:r>
        <w:rPr>
          <w:rFonts w:ascii="Cambria" w:hAnsi="Cambria"/>
          <w:sz w:val="24"/>
          <w:szCs w:val="24"/>
        </w:rPr>
        <w:t>Considerando a frequência de uso, a necessidade de disponibilidade permanente dos veículos e a otimização dos recursos públicos ao longo do tempo, a aquisição direta dos veículos é a solução mais vantajosa para o Município de Miraíma/CE. Além de representar uma economia significativa em médio e longo prazo, garante maior autonomia de gestão, padronização da frota e consolidação do patrimônio público municipal.</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6. ESTIMATIVA DO VALOR DA CONTRATAÇÃO</w:t>
      </w:r>
    </w:p>
    <w:p>
      <w:pPr>
        <w:spacing w:before="100" w:beforeAutospacing="1"/>
        <w:jc w:val="both"/>
        <w:rPr>
          <w:rFonts w:ascii="Cambria" w:eastAsia="Times New Roman" w:hAnsi="Cambria"/>
          <w:sz w:val="24"/>
          <w:szCs w:val="24"/>
        </w:rPr>
      </w:pPr>
      <w:r>
        <w:rPr>
          <w:rFonts w:ascii="Cambria" w:eastAsia="Times New Roman" w:hAnsi="Cambria"/>
          <w:sz w:val="24"/>
          <w:szCs w:val="24"/>
        </w:rPr>
        <w:t>A estimativa do valor para a aquisição, é de R$ 300.000,00 (Trezentos Mil Reais) para a secretaria municipal de saúde, R$ 40.000,00 (Quarenta Mil Reais) para a secretaria municipal de agricultura e meio ambiente, e R$ 80.000,00 (Oitenta Mil Reais) para a secretaria do trabalho e assistência social, com base no Plano de Contratação Anual de 2025 – PCA N° 10517563000105-0-000001/2025.</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7. DESCRIÇÃO DA SOLUÇÃO</w:t>
      </w:r>
    </w:p>
    <w:p>
      <w:pPr>
        <w:ind w:firstLine="708"/>
        <w:jc w:val="both"/>
        <w:rPr>
          <w:rFonts w:ascii="Cambria" w:hAnsi="Cambria"/>
          <w:sz w:val="24"/>
          <w:szCs w:val="24"/>
        </w:rPr>
      </w:pPr>
      <w:r>
        <w:rPr>
          <w:rFonts w:ascii="Cambria" w:hAnsi="Cambria"/>
          <w:sz w:val="24"/>
          <w:szCs w:val="24"/>
        </w:rPr>
        <w:t xml:space="preserve">A solução proposta consiste na aquisição de veículos automotores novos, zero quilômetro, que atendam aos requisitos técnicos e operacionais necessários ao </w:t>
      </w:r>
      <w:r>
        <w:rPr>
          <w:rFonts w:ascii="Cambria" w:hAnsi="Cambria"/>
          <w:sz w:val="24"/>
          <w:szCs w:val="24"/>
        </w:rPr>
        <w:lastRenderedPageBreak/>
        <w:t>desempenho das atividades administrativas, operacionais e de campo das diversas Secretarias do Município de Miraíma/CE. A escolha pela aquisição, em detrimento da locação, baseia-se na análise comparativa de custos e na vantagem de posse definitiva do bem, garantindo maior autonomia, durabilidade e melhor relação custo-benefício a médio e longo prazo.</w:t>
      </w:r>
    </w:p>
    <w:p>
      <w:pPr>
        <w:ind w:firstLine="708"/>
        <w:jc w:val="both"/>
        <w:rPr>
          <w:rFonts w:ascii="Cambria" w:hAnsi="Cambria"/>
          <w:sz w:val="24"/>
          <w:szCs w:val="24"/>
        </w:rPr>
      </w:pPr>
      <w:r>
        <w:rPr>
          <w:rFonts w:ascii="Cambria" w:hAnsi="Cambria"/>
          <w:sz w:val="24"/>
          <w:szCs w:val="24"/>
        </w:rPr>
        <w:t>A medida visa suprir demandas específicas de transporte institucional, deslocamento de equipes técnicas, realização de visitas in loco, apoio a serviços públicos essenciais e outras atividades que requerem veículos adequados, seguros e eficientes. A aquisição contribuirá diretamente para o aprimoramento da logística municipal, assegurando a continuidade e a qualidade dos serviços prestados à população.</w:t>
      </w:r>
    </w:p>
    <w:p>
      <w:pPr>
        <w:ind w:firstLine="708"/>
        <w:jc w:val="both"/>
        <w:rPr>
          <w:rFonts w:ascii="Cambria" w:hAnsi="Cambria"/>
          <w:sz w:val="24"/>
          <w:szCs w:val="24"/>
        </w:rPr>
      </w:pPr>
      <w:r>
        <w:rPr>
          <w:rFonts w:ascii="Cambria" w:hAnsi="Cambria"/>
          <w:sz w:val="24"/>
          <w:szCs w:val="24"/>
        </w:rPr>
        <w:t>Os veículos a serem adquiridos devem possuir características compatíveis com o tipo de uso previsto por cada secretaria demandante, incluindo motorização adequada, capacidade de passageiros, itens de segurança, conforto e economia de combustível, conforme especificações técnicas constantes no Termo de Referência.</w:t>
      </w:r>
    </w:p>
    <w:p>
      <w:pPr>
        <w:ind w:firstLine="708"/>
        <w:jc w:val="both"/>
        <w:rPr>
          <w:rFonts w:ascii="Cambria" w:hAnsi="Cambria"/>
          <w:sz w:val="24"/>
          <w:szCs w:val="24"/>
        </w:rPr>
      </w:pPr>
      <w:r>
        <w:rPr>
          <w:rFonts w:ascii="Cambria" w:hAnsi="Cambria"/>
          <w:sz w:val="24"/>
          <w:szCs w:val="24"/>
        </w:rPr>
        <w:t>A padronização da frota municipal, proporcionada por esta aquisição, facilitará a gestão, a manutenção preventiva e a reposição de peças, além de assegurar maior eficiência operacional e controle patrimonial. A entrega dos veículos deverá ser realizada com o primeiro emplacamento e regularização documental em nome do município, com garantia mínima conforme exigido nas especificações técnicas.</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8. JUSTIFICATIVAS PARA O PARCELAMENTO DA CONTRATAÇÃO</w:t>
      </w:r>
    </w:p>
    <w:p>
      <w:pPr>
        <w:ind w:firstLine="567"/>
        <w:jc w:val="both"/>
        <w:rPr>
          <w:rFonts w:ascii="Cambria" w:hAnsi="Cambria"/>
          <w:sz w:val="24"/>
          <w:szCs w:val="24"/>
        </w:rPr>
      </w:pPr>
      <w:r>
        <w:rPr>
          <w:rFonts w:ascii="Cambria" w:hAnsi="Cambria"/>
          <w:sz w:val="24"/>
          <w:szCs w:val="24"/>
        </w:rPr>
        <w:t>A contratação será realizada de forma única, sem parcelamento, pois a demanda envolve a aquisição de veículos destinados a uma única finalidade. Parcelar a contratação não seria eficiente, aumentaria os custos administrativos e não traria vantagens, além de retardar o atendimento das necessidades das Secretarias. A aquisição em lote único garante a entrega coordenada dos veículos, maior economia e facilita a gestão da frota.</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9. DEMONSTRATIVO DOS RESULTADOS PRETENDIDOS</w:t>
      </w:r>
    </w:p>
    <w:p>
      <w:pPr>
        <w:ind w:firstLine="708"/>
        <w:jc w:val="both"/>
        <w:rPr>
          <w:rFonts w:ascii="Cambria" w:hAnsi="Cambria"/>
          <w:sz w:val="24"/>
          <w:szCs w:val="24"/>
        </w:rPr>
      </w:pPr>
      <w:r>
        <w:rPr>
          <w:rFonts w:ascii="Cambria" w:hAnsi="Cambria"/>
          <w:sz w:val="24"/>
          <w:szCs w:val="24"/>
        </w:rPr>
        <w:t>Com a aquisição dos veículos zero quilômetro, pretende-se ampliar e qualificar a capacidade de atendimento das secretarias municipais, garantindo maior agilidade, segurança e eficiência na execução das atividades públicas. A entrega de serviços essenciais à população será fortalecida, especialmente nas ações que demandam deslocamento contínuo de equipes técnicas, transporte de materiais, visitas institucionais e apoio logístico a projetos e programas desenvolvidos no território municipal. A medida também visa à padronização e renovação da frota, contribuindo para a redução de custos com manutenção corretiva, aumento da disponibilidade operacional dos veículos e melhor controle patrimonial. Espera-se, assim, promover um salto de qualidade na infraestrutura de transporte institucional do Município, assegurando maior autonomia às secretarias e mais eficiência na prestação dos serviços públicos, em consonância com os princípios da economicidade, eficiência e continuidade do serviço.</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10. PROVIDÊNCIAS PRÉ-CONTRATUAIS</w:t>
      </w:r>
    </w:p>
    <w:p>
      <w:pPr>
        <w:pStyle w:val="PargrafodaLista"/>
        <w:numPr>
          <w:ilvl w:val="0"/>
          <w:numId w:val="51"/>
        </w:numPr>
        <w:suppressAutoHyphens w:val="0"/>
        <w:ind w:left="426"/>
        <w:jc w:val="both"/>
        <w:rPr>
          <w:rFonts w:ascii="Cambria" w:hAnsi="Cambria"/>
          <w:sz w:val="24"/>
          <w:szCs w:val="24"/>
        </w:rPr>
      </w:pPr>
      <w:r>
        <w:rPr>
          <w:rFonts w:ascii="Cambria" w:hAnsi="Cambria"/>
          <w:b/>
          <w:bCs/>
          <w:sz w:val="24"/>
          <w:szCs w:val="24"/>
        </w:rPr>
        <w:t>Elaboração do Termo de Referência</w:t>
      </w:r>
      <w:r>
        <w:rPr>
          <w:rFonts w:ascii="Cambria" w:hAnsi="Cambria"/>
          <w:sz w:val="24"/>
          <w:szCs w:val="24"/>
        </w:rPr>
        <w:t>: Finalização do Termo de Referência que detalha todas as especificações, requisitos e condições para a entrega e uso dos veículos, conforme as necessidades das Secretarias.</w:t>
      </w:r>
    </w:p>
    <w:p>
      <w:pPr>
        <w:pStyle w:val="PargrafodaLista"/>
        <w:numPr>
          <w:ilvl w:val="0"/>
          <w:numId w:val="51"/>
        </w:numPr>
        <w:suppressAutoHyphens w:val="0"/>
        <w:ind w:left="426"/>
        <w:jc w:val="both"/>
        <w:rPr>
          <w:rFonts w:ascii="Cambria" w:hAnsi="Cambria"/>
          <w:sz w:val="24"/>
          <w:szCs w:val="24"/>
        </w:rPr>
      </w:pPr>
      <w:r>
        <w:rPr>
          <w:rFonts w:ascii="Cambria" w:hAnsi="Cambria"/>
          <w:b/>
          <w:bCs/>
          <w:sz w:val="24"/>
          <w:szCs w:val="24"/>
        </w:rPr>
        <w:lastRenderedPageBreak/>
        <w:t>Autorização Orçamentária</w:t>
      </w:r>
      <w:r>
        <w:rPr>
          <w:rFonts w:ascii="Cambria" w:hAnsi="Cambria"/>
          <w:sz w:val="24"/>
          <w:szCs w:val="24"/>
        </w:rPr>
        <w:t>: Verificação e confirmação da disponibilidade orçamentária para a execução da contratação, com a devida inclusão no orçamento do Município de Miraíma.</w:t>
      </w:r>
    </w:p>
    <w:p>
      <w:pPr>
        <w:pStyle w:val="PargrafodaLista"/>
        <w:numPr>
          <w:ilvl w:val="0"/>
          <w:numId w:val="51"/>
        </w:numPr>
        <w:suppressAutoHyphens w:val="0"/>
        <w:ind w:left="426"/>
        <w:jc w:val="both"/>
        <w:rPr>
          <w:rFonts w:ascii="Cambria" w:hAnsi="Cambria"/>
          <w:sz w:val="24"/>
          <w:szCs w:val="24"/>
        </w:rPr>
      </w:pPr>
      <w:r>
        <w:rPr>
          <w:rFonts w:ascii="Cambria" w:hAnsi="Cambria"/>
          <w:b/>
          <w:bCs/>
          <w:sz w:val="24"/>
          <w:szCs w:val="24"/>
        </w:rPr>
        <w:t>Publicação do Edital</w:t>
      </w:r>
      <w:r>
        <w:rPr>
          <w:rFonts w:ascii="Cambria" w:hAnsi="Cambria"/>
          <w:sz w:val="24"/>
          <w:szCs w:val="24"/>
        </w:rPr>
        <w:t>: Realização da publicação do edital do pregão eletrônico para garantir ampla divulgação e participação dos fornecedores.</w:t>
      </w:r>
    </w:p>
    <w:p>
      <w:pPr>
        <w:pStyle w:val="PargrafodaLista"/>
        <w:numPr>
          <w:ilvl w:val="0"/>
          <w:numId w:val="51"/>
        </w:numPr>
        <w:suppressAutoHyphens w:val="0"/>
        <w:ind w:left="426"/>
        <w:jc w:val="both"/>
        <w:rPr>
          <w:rFonts w:ascii="Cambria" w:hAnsi="Cambria"/>
          <w:sz w:val="24"/>
          <w:szCs w:val="24"/>
        </w:rPr>
      </w:pPr>
      <w:r>
        <w:rPr>
          <w:rFonts w:ascii="Cambria" w:hAnsi="Cambria"/>
          <w:b/>
          <w:bCs/>
          <w:sz w:val="24"/>
          <w:szCs w:val="24"/>
        </w:rPr>
        <w:t>Capacitação da Equipe de Fiscalização</w:t>
      </w:r>
      <w:r>
        <w:rPr>
          <w:rFonts w:ascii="Cambria" w:hAnsi="Cambria"/>
          <w:sz w:val="24"/>
          <w:szCs w:val="24"/>
        </w:rPr>
        <w:t>: Preparação da equipe responsável pela fiscalização do contrato, com a definição dos critérios e padrões de acompanhamento da entrega dos veículos.</w:t>
      </w:r>
    </w:p>
    <w:p>
      <w:pPr>
        <w:pStyle w:val="PargrafodaLista"/>
        <w:numPr>
          <w:ilvl w:val="0"/>
          <w:numId w:val="51"/>
        </w:numPr>
        <w:suppressAutoHyphens w:val="0"/>
        <w:ind w:left="426"/>
        <w:jc w:val="both"/>
        <w:rPr>
          <w:rFonts w:ascii="Cambria" w:hAnsi="Cambria"/>
          <w:sz w:val="24"/>
          <w:szCs w:val="24"/>
        </w:rPr>
      </w:pPr>
      <w:r>
        <w:rPr>
          <w:rFonts w:ascii="Cambria" w:hAnsi="Cambria"/>
          <w:b/>
          <w:bCs/>
          <w:sz w:val="24"/>
          <w:szCs w:val="24"/>
        </w:rPr>
        <w:t>Definição da Data de Entrega</w:t>
      </w:r>
      <w:r>
        <w:rPr>
          <w:rFonts w:ascii="Cambria" w:hAnsi="Cambria"/>
          <w:sz w:val="24"/>
          <w:szCs w:val="24"/>
        </w:rPr>
        <w:t>: Estabelecimento do prazo para a entrega dos veículos, conforme o acordado no Termo de Referência.</w:t>
      </w:r>
    </w:p>
    <w:p>
      <w:pPr>
        <w:ind w:firstLine="567"/>
        <w:jc w:val="both"/>
        <w:rPr>
          <w:rFonts w:ascii="Cambria" w:hAnsi="Cambria"/>
          <w:sz w:val="24"/>
          <w:szCs w:val="24"/>
        </w:rPr>
      </w:pPr>
      <w:r>
        <w:rPr>
          <w:rFonts w:ascii="Cambria" w:hAnsi="Cambria"/>
          <w:sz w:val="24"/>
          <w:szCs w:val="24"/>
        </w:rPr>
        <w:t>Essas providências garantirão a execução do contrato de forma eficiente e dentro dos parâmetros legais, assegurando a entrega dos veículos conforme as expectativas e necessidades da Secretaria.</w:t>
      </w:r>
    </w:p>
    <w:p>
      <w:pPr>
        <w:jc w:val="both"/>
        <w:rPr>
          <w:rFonts w:ascii="Cambria" w:hAnsi="Cambria"/>
          <w:sz w:val="24"/>
          <w:szCs w:val="24"/>
        </w:rPr>
      </w:pPr>
    </w:p>
    <w:p>
      <w:pPr>
        <w:jc w:val="both"/>
        <w:rPr>
          <w:rFonts w:ascii="Cambria" w:hAnsi="Cambria"/>
          <w:b/>
          <w:bCs/>
          <w:sz w:val="24"/>
          <w:szCs w:val="24"/>
        </w:rPr>
      </w:pPr>
      <w:r>
        <w:rPr>
          <w:rFonts w:ascii="Cambria" w:hAnsi="Cambria"/>
          <w:b/>
          <w:bCs/>
          <w:sz w:val="24"/>
          <w:szCs w:val="24"/>
        </w:rPr>
        <w:t>11. CONTRATAÇÕES CORRELATAS E/OU INTERDEPENDENTES</w:t>
      </w:r>
    </w:p>
    <w:p>
      <w:pPr>
        <w:ind w:firstLine="567"/>
        <w:jc w:val="both"/>
        <w:rPr>
          <w:rFonts w:ascii="Cambria" w:hAnsi="Cambria"/>
          <w:sz w:val="24"/>
          <w:szCs w:val="24"/>
        </w:rPr>
      </w:pPr>
      <w:r>
        <w:rPr>
          <w:rFonts w:ascii="Cambria" w:hAnsi="Cambria"/>
          <w:sz w:val="24"/>
          <w:szCs w:val="24"/>
        </w:rPr>
        <w:t>As contratações correlatas à aquisição dos veículos incluem a contratação de serviços de manutenção preventiva e corretiva dos veículos, que são essenciais para garantir o bom funcionamento da frota ao longo do tempo e a aquisição de combustíveis (diesel e gasolina) para abastecimento dos veículos, com base na demanda de operação da frota, também são previstas aquisições de lubrificantes, óleos diversos e baterias, que são fundamentais para assegurar a eficiência, a segurança e a continuidade das operações realizadas com os veículos adquiridos. Ambas as contratações são fundamentais para assegurar a continuidade da operação dos veículos adquiridos e para garantir a sua durabilidade e eficiência no atendimento às necessidades das Secretarias.</w:t>
      </w:r>
    </w:p>
    <w:p>
      <w:pPr>
        <w:ind w:firstLine="567"/>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12. IMPACTOS AMBIENTAIS E MEDIDAS MITIGADORAS</w:t>
      </w:r>
    </w:p>
    <w:p>
      <w:pPr>
        <w:jc w:val="both"/>
        <w:rPr>
          <w:rFonts w:ascii="Cambria" w:hAnsi="Cambria"/>
          <w:sz w:val="24"/>
          <w:szCs w:val="24"/>
        </w:rPr>
      </w:pPr>
      <w:r>
        <w:rPr>
          <w:rFonts w:ascii="Cambria" w:hAnsi="Cambria"/>
          <w:sz w:val="24"/>
          <w:szCs w:val="24"/>
        </w:rPr>
        <w:t>A aquisição de veículos (zero quilômetro) destinados às diversas secretarias do Município de Miraíma/CE poderá gerar alguns impactos ambientais, principalmente relacionados à emissão de gases poluentes e ao uso de combustíveis fósseis. Entretanto, a escolha por veículos novos, com tecnologia moderna e em conformidade com as normas ambientais vigentes, visa minimizar esses impactos e promover maior eficiência no uso dos recursos públicos.</w:t>
      </w:r>
    </w:p>
    <w:p>
      <w:pPr>
        <w:ind w:left="142"/>
        <w:jc w:val="both"/>
        <w:rPr>
          <w:rFonts w:ascii="Cambria" w:hAnsi="Cambria"/>
          <w:sz w:val="24"/>
          <w:szCs w:val="24"/>
        </w:rPr>
      </w:pPr>
      <w:r>
        <w:rPr>
          <w:rFonts w:ascii="Cambria" w:hAnsi="Cambria"/>
          <w:sz w:val="24"/>
          <w:szCs w:val="24"/>
        </w:rPr>
        <w:t>As principais medidas mitigadoras a serem adotadas incluem:</w:t>
      </w:r>
    </w:p>
    <w:p>
      <w:pPr>
        <w:numPr>
          <w:ilvl w:val="0"/>
          <w:numId w:val="52"/>
        </w:numPr>
        <w:ind w:left="142"/>
        <w:jc w:val="both"/>
        <w:rPr>
          <w:rFonts w:ascii="Cambria" w:hAnsi="Cambria"/>
          <w:sz w:val="24"/>
          <w:szCs w:val="24"/>
        </w:rPr>
      </w:pPr>
      <w:r>
        <w:rPr>
          <w:rFonts w:ascii="Cambria" w:hAnsi="Cambria"/>
          <w:b/>
          <w:bCs/>
          <w:sz w:val="24"/>
          <w:szCs w:val="24"/>
        </w:rPr>
        <w:t>Aquisição de Veículos com Baixa Emissão de Poluentes</w:t>
      </w:r>
      <w:r>
        <w:rPr>
          <w:rFonts w:ascii="Cambria" w:hAnsi="Cambria"/>
          <w:sz w:val="24"/>
          <w:szCs w:val="24"/>
        </w:rPr>
        <w:br/>
        <w:t>Serão adquiridos veículos com motores modernos e eficientes, contribuindo para a redução na emissão de gases nocivos à saúde e ao meio ambiente.</w:t>
      </w:r>
    </w:p>
    <w:p>
      <w:pPr>
        <w:numPr>
          <w:ilvl w:val="0"/>
          <w:numId w:val="52"/>
        </w:numPr>
        <w:ind w:left="142"/>
        <w:jc w:val="both"/>
        <w:rPr>
          <w:rFonts w:ascii="Cambria" w:hAnsi="Cambria"/>
          <w:sz w:val="24"/>
          <w:szCs w:val="24"/>
        </w:rPr>
      </w:pPr>
      <w:r>
        <w:rPr>
          <w:rFonts w:ascii="Cambria" w:hAnsi="Cambria"/>
          <w:b/>
          <w:bCs/>
          <w:sz w:val="24"/>
          <w:szCs w:val="24"/>
        </w:rPr>
        <w:t>Eficiência Energética e Redução no Consumo de Combustível</w:t>
      </w:r>
      <w:r>
        <w:rPr>
          <w:rFonts w:ascii="Cambria" w:hAnsi="Cambria"/>
          <w:sz w:val="24"/>
          <w:szCs w:val="24"/>
        </w:rPr>
        <w:br/>
        <w:t>Serão priorizados veículos com bom desempenho em consumo de combustível e baixa emissão de dióxido de carbono (CO₂), favorecendo a redução de gases de efeito estufa e aumentando a eficiência operacional das secretarias atendidas.</w:t>
      </w:r>
    </w:p>
    <w:p>
      <w:pPr>
        <w:numPr>
          <w:ilvl w:val="0"/>
          <w:numId w:val="52"/>
        </w:numPr>
        <w:ind w:left="142"/>
        <w:jc w:val="both"/>
        <w:rPr>
          <w:rFonts w:ascii="Cambria" w:hAnsi="Cambria"/>
          <w:sz w:val="24"/>
          <w:szCs w:val="24"/>
        </w:rPr>
      </w:pPr>
      <w:r>
        <w:rPr>
          <w:rFonts w:ascii="Cambria" w:hAnsi="Cambria"/>
          <w:b/>
          <w:bCs/>
          <w:sz w:val="24"/>
          <w:szCs w:val="24"/>
        </w:rPr>
        <w:t>Manutenção Preventiva e Monitoramento da Frota</w:t>
      </w:r>
      <w:r>
        <w:rPr>
          <w:rFonts w:ascii="Cambria" w:hAnsi="Cambria"/>
          <w:sz w:val="24"/>
          <w:szCs w:val="24"/>
        </w:rPr>
        <w:br/>
        <w:t>A adoção de um cronograma de manutenções preventivas garantirá o bom funcionamento dos veículos, otimizando o consumo de combustível e prolongando a vida útil da frota, além de prevenir emissões excessivas causadas por falhas mecânicas.</w:t>
      </w:r>
    </w:p>
    <w:p>
      <w:pPr>
        <w:numPr>
          <w:ilvl w:val="0"/>
          <w:numId w:val="52"/>
        </w:numPr>
        <w:tabs>
          <w:tab w:val="clear" w:pos="720"/>
          <w:tab w:val="num" w:pos="360"/>
        </w:tabs>
        <w:ind w:left="142"/>
        <w:jc w:val="both"/>
        <w:rPr>
          <w:rFonts w:ascii="Cambria" w:hAnsi="Cambria"/>
          <w:sz w:val="24"/>
          <w:szCs w:val="24"/>
        </w:rPr>
      </w:pPr>
      <w:r>
        <w:rPr>
          <w:rFonts w:ascii="Cambria" w:hAnsi="Cambria"/>
          <w:b/>
          <w:bCs/>
          <w:sz w:val="24"/>
          <w:szCs w:val="24"/>
        </w:rPr>
        <w:lastRenderedPageBreak/>
        <w:t>Renovação da Frota Municipal</w:t>
      </w:r>
      <w:r>
        <w:rPr>
          <w:rFonts w:ascii="Cambria" w:hAnsi="Cambria"/>
          <w:sz w:val="24"/>
          <w:szCs w:val="24"/>
        </w:rPr>
        <w:br/>
        <w:t>A substituição de veículos antigos por novos trará ganhos ambientais significativos, reduzindo a emissão de poluentes e o consumo excessivo de combustíveis, além de diminuir a frequência de manutenções corretivas e o descarte inadequado de peças automotivas.</w:t>
      </w:r>
    </w:p>
    <w:p>
      <w:pPr>
        <w:jc w:val="both"/>
        <w:rPr>
          <w:rFonts w:ascii="Cambria" w:hAnsi="Cambria"/>
          <w:sz w:val="24"/>
          <w:szCs w:val="24"/>
        </w:rPr>
      </w:pPr>
      <w:r>
        <w:rPr>
          <w:rFonts w:ascii="Cambria" w:hAnsi="Cambria"/>
          <w:sz w:val="24"/>
          <w:szCs w:val="24"/>
        </w:rPr>
        <w:t>Essas ações serão acompanhadas pelas secretarias municipais envolvidas, com o objetivo de alinhar a gestão da frota pública às diretrizes de sustentabilidade e responsabilidade ambiental, contribuindo para um serviço público mais eficiente e ambientalmente responsável no município de Miraíma/CE.</w:t>
      </w:r>
    </w:p>
    <w:p>
      <w:pPr>
        <w:jc w:val="both"/>
        <w:rPr>
          <w:rFonts w:ascii="Cambria" w:hAnsi="Cambria"/>
          <w:b/>
          <w:bCs/>
          <w:sz w:val="24"/>
          <w:szCs w:val="24"/>
        </w:rPr>
      </w:pPr>
    </w:p>
    <w:p>
      <w:pPr>
        <w:jc w:val="both"/>
        <w:rPr>
          <w:rFonts w:ascii="Cambria" w:hAnsi="Cambria"/>
          <w:b/>
          <w:bCs/>
          <w:sz w:val="24"/>
          <w:szCs w:val="24"/>
        </w:rPr>
      </w:pPr>
      <w:r>
        <w:rPr>
          <w:rFonts w:ascii="Cambria" w:hAnsi="Cambria"/>
          <w:b/>
          <w:bCs/>
          <w:sz w:val="24"/>
          <w:szCs w:val="24"/>
        </w:rPr>
        <w:t>13. POSICIONAMENTO CONCLUSIVO</w:t>
      </w:r>
    </w:p>
    <w:p>
      <w:pPr>
        <w:ind w:firstLine="567"/>
        <w:jc w:val="both"/>
        <w:rPr>
          <w:rFonts w:ascii="Cambria" w:hAnsi="Cambria"/>
          <w:sz w:val="24"/>
          <w:szCs w:val="24"/>
        </w:rPr>
      </w:pPr>
      <w:r>
        <w:rPr>
          <w:rFonts w:ascii="Cambria" w:hAnsi="Cambria"/>
          <w:sz w:val="24"/>
          <w:szCs w:val="24"/>
        </w:rPr>
        <w:t>A contratação para a aquisição de veículos (zero quilômetro) destinados às diversas secretarias do Município de Miraíma/CE representa uma medida estratégica para garantir maior eficiência na execução das atividades administrativas, operacionais e de atendimento à população. A iniciativa visa dotar as secretarias municipais de uma frota adequada, segura, eficiente e com menor impacto ambiental.</w:t>
      </w:r>
    </w:p>
    <w:p>
      <w:pPr>
        <w:ind w:firstLine="567"/>
        <w:jc w:val="both"/>
        <w:rPr>
          <w:rFonts w:ascii="Cambria" w:hAnsi="Cambria"/>
          <w:sz w:val="24"/>
          <w:szCs w:val="24"/>
        </w:rPr>
      </w:pPr>
      <w:r>
        <w:rPr>
          <w:rFonts w:ascii="Cambria" w:hAnsi="Cambria"/>
          <w:sz w:val="24"/>
          <w:szCs w:val="24"/>
        </w:rPr>
        <w:t>Após análise das necessidades das secretarias e das alternativas disponíveis, conclui-se que a aquisição de veículos próprios, em substituição à eventual locação ou uso de veículos obsoletos, representa uma solução mais vantajosa a longo prazo. A aquisição permitirá redução de custos com manutenção corretiva, menor índice de depreciação no curto prazo e maior controle sobre o consumo de combustível, além de assegurar confiabilidade no deslocamento de equipes e materiais.</w:t>
      </w:r>
    </w:p>
    <w:p>
      <w:pPr>
        <w:ind w:firstLine="567"/>
        <w:jc w:val="both"/>
        <w:rPr>
          <w:rFonts w:ascii="Cambria" w:hAnsi="Cambria"/>
          <w:sz w:val="24"/>
          <w:szCs w:val="24"/>
        </w:rPr>
      </w:pPr>
      <w:r>
        <w:rPr>
          <w:rFonts w:ascii="Cambria" w:hAnsi="Cambria"/>
          <w:sz w:val="24"/>
          <w:szCs w:val="24"/>
        </w:rPr>
        <w:t>A escolha de modelos versáteis e eficientes, conforme a finalidade de cada secretaria, garantirá que os veículos atendam às demandas específicas de forma adequada, promovendo segurança, conforto e funcionalidade.</w:t>
      </w:r>
    </w:p>
    <w:p>
      <w:pPr>
        <w:ind w:firstLine="567"/>
        <w:jc w:val="both"/>
        <w:rPr>
          <w:rFonts w:ascii="Cambria" w:hAnsi="Cambria"/>
          <w:sz w:val="24"/>
          <w:szCs w:val="24"/>
        </w:rPr>
      </w:pPr>
      <w:r>
        <w:rPr>
          <w:rFonts w:ascii="Cambria" w:hAnsi="Cambria"/>
          <w:sz w:val="24"/>
          <w:szCs w:val="24"/>
        </w:rPr>
        <w:t>É recomendável que a contratação seja conduzida por meio de pregão eletrônico, conforme disposto na Lei nº 14.133/2021, assegurando ampla concorrência, transparência, economicidade e legalidade no processo licitatório.</w:t>
      </w:r>
    </w:p>
    <w:p>
      <w:pPr>
        <w:pStyle w:val="Ttulo1"/>
        <w:numPr>
          <w:ilvl w:val="0"/>
          <w:numId w:val="0"/>
        </w:numPr>
        <w:shd w:val="clear" w:color="auto" w:fill="F2F2F2"/>
        <w:rPr>
          <w:rFonts w:ascii="Cambria" w:hAnsi="Cambria" w:cs="Times New Roman"/>
          <w:b w:val="0"/>
          <w:sz w:val="24"/>
          <w:szCs w:val="24"/>
        </w:rPr>
      </w:pPr>
      <w:r>
        <w:rPr>
          <w:rFonts w:ascii="Cambria" w:hAnsi="Cambria" w:cs="Times New Roman"/>
          <w:b w:val="0"/>
          <w:sz w:val="24"/>
          <w:szCs w:val="24"/>
        </w:rPr>
        <w:t>A aquisição contribuirá diretamente para a melhoria dos serviços públicos ofertados à população de Miraíma, fortalecendo a estrutura operacional das secretarias municipais. Com a adoção de medidas mitigadoras dos impactos ambientais e boas práticas de gestão da frota, os resultados esperados são de maior eficiência administrativa, sustentabilidade e responsabilidade na aplicação dos recursos públicos.</w:t>
      </w: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rPr>
          <w:lang w:eastAsia="ar-SA"/>
        </w:rPr>
      </w:pPr>
    </w:p>
    <w:p>
      <w:pPr>
        <w:pStyle w:val="Ttulo1"/>
        <w:numPr>
          <w:ilvl w:val="0"/>
          <w:numId w:val="0"/>
        </w:numPr>
        <w:shd w:val="clear" w:color="auto" w:fill="F2F2F2"/>
        <w:jc w:val="center"/>
        <w:rPr>
          <w:rFonts w:asciiTheme="majorHAnsi" w:hAnsiTheme="majorHAnsi" w:cs="Times New Roman"/>
        </w:rPr>
      </w:pPr>
      <w:r>
        <w:rPr>
          <w:rFonts w:asciiTheme="majorHAnsi" w:hAnsiTheme="majorHAnsi" w:cs="Times New Roman"/>
        </w:rPr>
        <w:lastRenderedPageBreak/>
        <w:t>ANEXO III - MODELO DA PROPOSTA DE PREÇOS</w:t>
      </w:r>
    </w:p>
    <w:p>
      <w:pPr>
        <w:spacing w:line="276" w:lineRule="auto"/>
        <w:rPr>
          <w:rFonts w:asciiTheme="majorHAnsi" w:eastAsia="Arial" w:hAnsiTheme="majorHAnsi"/>
          <w:b/>
        </w:rPr>
      </w:pPr>
    </w:p>
    <w:p>
      <w:pPr>
        <w:ind w:right="283"/>
        <w:jc w:val="both"/>
        <w:rPr>
          <w:rFonts w:asciiTheme="majorHAnsi" w:eastAsia="Arial" w:hAnsiTheme="majorHAnsi"/>
        </w:rPr>
      </w:pPr>
      <w:r>
        <w:rPr>
          <w:rFonts w:asciiTheme="majorHAnsi" w:eastAsia="Arial" w:hAnsiTheme="majorHAnsi"/>
        </w:rPr>
        <w:t>A(O) PREGOEIRO(A) DA PREFEITURA MUNICIPAL DE [MUNICÍPIO].</w:t>
      </w:r>
    </w:p>
    <w:p>
      <w:pPr>
        <w:ind w:left="142" w:right="283" w:firstLine="1134"/>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rPr>
        <w:t>Processo: PREGÃO ELETRÔNICO Nº [NÚMERO DO PREGÃO]</w:t>
      </w:r>
    </w:p>
    <w:p>
      <w:pPr>
        <w:jc w:val="both"/>
        <w:rPr>
          <w:rFonts w:asciiTheme="majorHAnsi" w:eastAsia="Arial" w:hAnsiTheme="majorHAnsi"/>
        </w:rPr>
      </w:pPr>
      <w:r>
        <w:rPr>
          <w:rFonts w:asciiTheme="majorHAnsi" w:eastAsia="Arial" w:hAnsiTheme="majorHAnsi"/>
        </w:rPr>
        <w:t>Data e Hora de Abertura: ___________________ às ________ horas</w:t>
      </w:r>
    </w:p>
    <w:p>
      <w:pPr>
        <w:jc w:val="both"/>
        <w:rPr>
          <w:rFonts w:asciiTheme="majorHAnsi" w:eastAsia="Arial" w:hAnsiTheme="majorHAnsi"/>
        </w:rPr>
      </w:pPr>
      <w:r>
        <w:rPr>
          <w:rFonts w:asciiTheme="majorHAnsi" w:eastAsia="Arial" w:hAnsiTheme="majorHAnsi"/>
        </w:rPr>
        <w:t>Razão Social: ____ CNPJ: ___________</w:t>
      </w:r>
    </w:p>
    <w:p>
      <w:pPr>
        <w:jc w:val="both"/>
        <w:rPr>
          <w:rFonts w:asciiTheme="majorHAnsi" w:eastAsia="Arial" w:hAnsiTheme="majorHAnsi"/>
        </w:rPr>
      </w:pPr>
      <w:r>
        <w:rPr>
          <w:rFonts w:asciiTheme="majorHAnsi" w:eastAsia="Arial" w:hAnsiTheme="majorHAnsi"/>
        </w:rPr>
        <w:t>Endereço: ______ CEP: ___</w:t>
      </w:r>
    </w:p>
    <w:p>
      <w:pPr>
        <w:jc w:val="both"/>
        <w:rPr>
          <w:rFonts w:asciiTheme="majorHAnsi" w:eastAsia="Arial" w:hAnsiTheme="majorHAnsi"/>
        </w:rPr>
      </w:pPr>
      <w:r>
        <w:rPr>
          <w:rFonts w:asciiTheme="majorHAnsi" w:eastAsia="Arial" w:hAnsiTheme="majorHAnsi"/>
        </w:rPr>
        <w:t>Fone: _____ Fax: ________</w:t>
      </w:r>
    </w:p>
    <w:p>
      <w:pPr>
        <w:jc w:val="both"/>
        <w:rPr>
          <w:rFonts w:asciiTheme="majorHAnsi" w:eastAsia="Arial" w:hAnsiTheme="majorHAnsi"/>
        </w:rPr>
      </w:pPr>
      <w:r>
        <w:rPr>
          <w:rFonts w:asciiTheme="majorHAnsi" w:eastAsia="Arial" w:hAnsiTheme="majorHAnsi"/>
        </w:rPr>
        <w:t>Banco: ____ Agência N.º: _______ Conta Corrente n.º: ___</w:t>
      </w:r>
    </w:p>
    <w:p>
      <w:pPr>
        <w:jc w:val="both"/>
        <w:rPr>
          <w:rFonts w:asciiTheme="majorHAnsi" w:eastAsia="Arial" w:hAnsiTheme="majorHAnsi"/>
          <w:b/>
        </w:rPr>
      </w:pPr>
      <w:r>
        <w:rPr>
          <w:rFonts w:asciiTheme="majorHAnsi" w:eastAsia="Arial" w:hAnsiTheme="majorHAnsi"/>
          <w:b/>
        </w:rPr>
        <w:t>E-mail:________________________________________</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 xml:space="preserve">OBJETO: </w:t>
      </w:r>
      <w:r>
        <w:rPr>
          <w:rFonts w:asciiTheme="majorHAnsi" w:eastAsia="Arial" w:hAnsiTheme="majorHAnsi"/>
        </w:rPr>
        <w:t>&lt;OBJETO&gt;.</w:t>
      </w:r>
    </w:p>
    <w:p>
      <w:pPr>
        <w:jc w:val="both"/>
        <w:rPr>
          <w:rFonts w:asciiTheme="majorHAnsi" w:eastAsia="Arial" w:hAnsiTheme="majorHAnsi"/>
          <w:b/>
        </w:rPr>
      </w:pPr>
    </w:p>
    <w:p>
      <w:pPr>
        <w:jc w:val="center"/>
        <w:rPr>
          <w:rFonts w:asciiTheme="majorHAnsi" w:eastAsia="Arial" w:hAnsiTheme="majorHAnsi"/>
          <w:b/>
        </w:rPr>
      </w:pPr>
      <w:bookmarkStart w:id="65" w:name="_heading=h.4f1mdlm" w:colFirst="0" w:colLast="0"/>
      <w:bookmarkEnd w:id="65"/>
    </w:p>
    <w:tbl>
      <w:tblPr>
        <w:tblStyle w:val="a9"/>
        <w:tblW w:w="9634" w:type="dxa"/>
        <w:tblInd w:w="-75" w:type="dxa"/>
        <w:tblLayout w:type="fixed"/>
        <w:tblLook w:val="0400" w:firstRow="0" w:lastRow="0" w:firstColumn="0" w:lastColumn="0" w:noHBand="0" w:noVBand="1"/>
      </w:tblPr>
      <w:tblGrid>
        <w:gridCol w:w="548"/>
        <w:gridCol w:w="3883"/>
        <w:gridCol w:w="1278"/>
        <w:gridCol w:w="954"/>
        <w:gridCol w:w="1057"/>
        <w:gridCol w:w="915"/>
        <w:gridCol w:w="999"/>
      </w:tblGrid>
      <w:tr>
        <w:trPr>
          <w:cantSplit/>
          <w:trHeight w:val="290"/>
        </w:trPr>
        <w:tc>
          <w:tcPr>
            <w:tcW w:w="548" w:type="dxa"/>
            <w:tcBorders>
              <w:top w:val="single" w:sz="4" w:space="0" w:color="000000"/>
              <w:left w:val="single" w:sz="4" w:space="0" w:color="000000"/>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Nº</w:t>
            </w:r>
          </w:p>
        </w:tc>
        <w:tc>
          <w:tcPr>
            <w:tcW w:w="3883" w:type="dxa"/>
            <w:tcBorders>
              <w:top w:val="single" w:sz="4" w:space="0" w:color="000000"/>
              <w:left w:val="nil"/>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DESCRIÇÃO</w:t>
            </w:r>
          </w:p>
        </w:tc>
        <w:tc>
          <w:tcPr>
            <w:tcW w:w="1278" w:type="dxa"/>
            <w:tcBorders>
              <w:top w:val="single" w:sz="4" w:space="0" w:color="000000"/>
              <w:left w:val="nil"/>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QTDE</w:t>
            </w:r>
          </w:p>
        </w:tc>
        <w:tc>
          <w:tcPr>
            <w:tcW w:w="954" w:type="dxa"/>
            <w:tcBorders>
              <w:top w:val="single" w:sz="4" w:space="0" w:color="000000"/>
              <w:left w:val="nil"/>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MARCA</w:t>
            </w:r>
          </w:p>
        </w:tc>
        <w:tc>
          <w:tcPr>
            <w:tcW w:w="1057" w:type="dxa"/>
            <w:tcBorders>
              <w:top w:val="single" w:sz="4" w:space="0" w:color="000000"/>
              <w:left w:val="single" w:sz="4" w:space="0" w:color="000000"/>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UNIDADE</w:t>
            </w:r>
          </w:p>
        </w:tc>
        <w:tc>
          <w:tcPr>
            <w:tcW w:w="915" w:type="dxa"/>
            <w:tcBorders>
              <w:top w:val="single" w:sz="4" w:space="0" w:color="000000"/>
              <w:left w:val="single" w:sz="4" w:space="0" w:color="000000"/>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V. UNT.</w:t>
            </w:r>
          </w:p>
        </w:tc>
        <w:tc>
          <w:tcPr>
            <w:tcW w:w="999" w:type="dxa"/>
            <w:tcBorders>
              <w:top w:val="single" w:sz="4" w:space="0" w:color="000000"/>
              <w:left w:val="nil"/>
              <w:bottom w:val="single" w:sz="4" w:space="0" w:color="000000"/>
              <w:right w:val="single" w:sz="4" w:space="0" w:color="000000"/>
            </w:tcBorders>
            <w:shd w:val="clear" w:color="auto" w:fill="F2F2F2"/>
            <w:vAlign w:val="center"/>
          </w:tcPr>
          <w:p>
            <w:pPr>
              <w:jc w:val="center"/>
              <w:rPr>
                <w:rFonts w:asciiTheme="majorHAnsi" w:eastAsia="Arial" w:hAnsiTheme="majorHAnsi"/>
                <w:b/>
                <w:sz w:val="20"/>
                <w:szCs w:val="20"/>
              </w:rPr>
            </w:pPr>
            <w:r>
              <w:rPr>
                <w:rFonts w:asciiTheme="majorHAnsi" w:eastAsia="Arial" w:hAnsiTheme="majorHAnsi"/>
                <w:b/>
                <w:sz w:val="20"/>
                <w:szCs w:val="20"/>
              </w:rPr>
              <w:t>VALOR TOTAL</w:t>
            </w:r>
          </w:p>
        </w:tc>
      </w:tr>
      <w:tr>
        <w:trPr>
          <w:cantSplit/>
        </w:trPr>
        <w:tc>
          <w:tcPr>
            <w:tcW w:w="548" w:type="dxa"/>
            <w:tcBorders>
              <w:top w:val="nil"/>
              <w:left w:val="single" w:sz="4" w:space="0" w:color="000000"/>
              <w:bottom w:val="single" w:sz="4" w:space="0" w:color="000000"/>
              <w:right w:val="single" w:sz="4" w:space="0" w:color="000000"/>
            </w:tcBorders>
            <w:shd w:val="clear" w:color="auto" w:fill="auto"/>
            <w:vAlign w:val="center"/>
          </w:tcPr>
          <w:p>
            <w:pPr>
              <w:jc w:val="center"/>
              <w:rPr>
                <w:rFonts w:asciiTheme="majorHAnsi" w:eastAsia="Arial" w:hAnsiTheme="majorHAnsi"/>
                <w:sz w:val="20"/>
                <w:szCs w:val="20"/>
              </w:rPr>
            </w:pPr>
          </w:p>
        </w:tc>
        <w:tc>
          <w:tcPr>
            <w:tcW w:w="3883" w:type="dxa"/>
            <w:tcBorders>
              <w:top w:val="nil"/>
              <w:left w:val="nil"/>
              <w:bottom w:val="single" w:sz="4" w:space="0" w:color="000000"/>
              <w:right w:val="single" w:sz="4" w:space="0" w:color="000000"/>
            </w:tcBorders>
            <w:shd w:val="clear" w:color="auto" w:fill="auto"/>
            <w:vAlign w:val="center"/>
          </w:tcPr>
          <w:p>
            <w:pPr>
              <w:jc w:val="both"/>
              <w:rPr>
                <w:rFonts w:asciiTheme="majorHAnsi" w:eastAsia="Arial" w:hAnsiTheme="majorHAnsi"/>
                <w:sz w:val="20"/>
                <w:szCs w:val="20"/>
              </w:rPr>
            </w:pPr>
          </w:p>
        </w:tc>
        <w:tc>
          <w:tcPr>
            <w:tcW w:w="1278" w:type="dxa"/>
            <w:tcBorders>
              <w:top w:val="nil"/>
              <w:left w:val="nil"/>
              <w:bottom w:val="single" w:sz="4" w:space="0" w:color="000000"/>
              <w:right w:val="single" w:sz="4" w:space="0" w:color="000000"/>
            </w:tcBorders>
            <w:shd w:val="clear" w:color="auto" w:fill="auto"/>
            <w:vAlign w:val="center"/>
          </w:tcPr>
          <w:p>
            <w:pPr>
              <w:jc w:val="center"/>
              <w:rPr>
                <w:rFonts w:asciiTheme="majorHAnsi" w:eastAsia="Arial" w:hAnsiTheme="majorHAnsi"/>
                <w:sz w:val="20"/>
                <w:szCs w:val="20"/>
              </w:rPr>
            </w:pPr>
          </w:p>
        </w:tc>
        <w:tc>
          <w:tcPr>
            <w:tcW w:w="954" w:type="dxa"/>
            <w:tcBorders>
              <w:top w:val="single" w:sz="4" w:space="0" w:color="000000"/>
              <w:left w:val="nil"/>
              <w:bottom w:val="single" w:sz="4" w:space="0" w:color="000000"/>
              <w:right w:val="nil"/>
            </w:tcBorders>
          </w:tcPr>
          <w:p>
            <w:pPr>
              <w:jc w:val="center"/>
              <w:rPr>
                <w:rFonts w:asciiTheme="majorHAnsi" w:eastAsia="Arial" w:hAnsiTheme="majorHAnsi"/>
                <w:sz w:val="20"/>
                <w:szCs w:val="20"/>
              </w:rPr>
            </w:pPr>
          </w:p>
        </w:tc>
        <w:tc>
          <w:tcPr>
            <w:tcW w:w="1057" w:type="dxa"/>
            <w:tcBorders>
              <w:top w:val="single" w:sz="4" w:space="0" w:color="000000"/>
              <w:left w:val="nil"/>
              <w:bottom w:val="single" w:sz="4" w:space="0" w:color="000000"/>
              <w:right w:val="single" w:sz="4" w:space="0" w:color="000000"/>
            </w:tcBorders>
            <w:shd w:val="clear" w:color="auto" w:fill="auto"/>
            <w:vAlign w:val="center"/>
          </w:tcPr>
          <w:p>
            <w:pPr>
              <w:jc w:val="center"/>
              <w:rPr>
                <w:rFonts w:asciiTheme="majorHAnsi" w:eastAsia="Arial" w:hAnsiTheme="majorHAnsi"/>
                <w:sz w:val="20"/>
                <w:szCs w:val="20"/>
              </w:rPr>
            </w:pPr>
          </w:p>
        </w:tc>
        <w:tc>
          <w:tcPr>
            <w:tcW w:w="915"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Theme="majorHAnsi" w:eastAsia="Arial" w:hAnsiTheme="majorHAnsi"/>
                <w:sz w:val="20"/>
                <w:szCs w:val="20"/>
              </w:rPr>
            </w:pPr>
          </w:p>
        </w:tc>
        <w:tc>
          <w:tcPr>
            <w:tcW w:w="999" w:type="dxa"/>
            <w:tcBorders>
              <w:top w:val="nil"/>
              <w:left w:val="nil"/>
              <w:bottom w:val="single" w:sz="4" w:space="0" w:color="000000"/>
              <w:right w:val="single" w:sz="4" w:space="0" w:color="000000"/>
            </w:tcBorders>
            <w:shd w:val="clear" w:color="auto" w:fill="auto"/>
            <w:vAlign w:val="center"/>
          </w:tcPr>
          <w:p>
            <w:pPr>
              <w:jc w:val="center"/>
              <w:rPr>
                <w:rFonts w:asciiTheme="majorHAnsi" w:eastAsia="Arial" w:hAnsiTheme="majorHAnsi"/>
                <w:sz w:val="20"/>
                <w:szCs w:val="20"/>
              </w:rPr>
            </w:pPr>
          </w:p>
        </w:tc>
      </w:tr>
      <w:tr>
        <w:trPr>
          <w:cantSplit/>
        </w:trPr>
        <w:tc>
          <w:tcPr>
            <w:tcW w:w="548" w:type="dxa"/>
            <w:tcBorders>
              <w:top w:val="single" w:sz="4" w:space="0" w:color="000000"/>
              <w:left w:val="single" w:sz="4" w:space="0" w:color="000000"/>
              <w:bottom w:val="single" w:sz="4" w:space="0" w:color="000000"/>
              <w:right w:val="single" w:sz="4" w:space="0" w:color="000000"/>
            </w:tcBorders>
            <w:shd w:val="clear" w:color="auto" w:fill="F2F2F2"/>
          </w:tcPr>
          <w:p>
            <w:pPr>
              <w:jc w:val="right"/>
              <w:rPr>
                <w:rFonts w:asciiTheme="majorHAnsi" w:eastAsia="Arial" w:hAnsiTheme="majorHAnsi"/>
                <w:b/>
                <w:sz w:val="20"/>
                <w:szCs w:val="20"/>
              </w:rPr>
            </w:pPr>
          </w:p>
        </w:tc>
        <w:tc>
          <w:tcPr>
            <w:tcW w:w="8087" w:type="dxa"/>
            <w:gridSpan w:val="5"/>
            <w:tcBorders>
              <w:top w:val="single" w:sz="4" w:space="0" w:color="000000"/>
              <w:left w:val="single" w:sz="4" w:space="0" w:color="000000"/>
              <w:bottom w:val="single" w:sz="4" w:space="0" w:color="000000"/>
              <w:right w:val="single" w:sz="4" w:space="0" w:color="000000"/>
            </w:tcBorders>
            <w:shd w:val="clear" w:color="auto" w:fill="F2F2F2"/>
          </w:tcPr>
          <w:p>
            <w:pPr>
              <w:jc w:val="right"/>
              <w:rPr>
                <w:rFonts w:asciiTheme="majorHAnsi" w:eastAsia="Arial" w:hAnsiTheme="majorHAnsi"/>
                <w:b/>
                <w:sz w:val="20"/>
                <w:szCs w:val="20"/>
              </w:rPr>
            </w:pPr>
            <w:r>
              <w:rPr>
                <w:rFonts w:asciiTheme="majorHAnsi" w:eastAsia="Arial" w:hAnsiTheme="majorHAnsi"/>
                <w:b/>
                <w:sz w:val="20"/>
                <w:szCs w:val="20"/>
              </w:rPr>
              <w:t xml:space="preserve">VALOR TOTAL </w:t>
            </w:r>
          </w:p>
        </w:tc>
        <w:tc>
          <w:tcPr>
            <w:tcW w:w="999" w:type="dxa"/>
            <w:tcBorders>
              <w:top w:val="nil"/>
              <w:left w:val="nil"/>
              <w:bottom w:val="single" w:sz="4" w:space="0" w:color="000000"/>
              <w:right w:val="single" w:sz="4" w:space="0" w:color="000000"/>
            </w:tcBorders>
            <w:shd w:val="clear" w:color="auto" w:fill="F2F2F2"/>
            <w:vAlign w:val="bottom"/>
          </w:tcPr>
          <w:p>
            <w:pPr>
              <w:jc w:val="right"/>
              <w:rPr>
                <w:rFonts w:asciiTheme="majorHAnsi" w:eastAsia="Arial" w:hAnsiTheme="majorHAnsi"/>
                <w:b/>
                <w:sz w:val="20"/>
                <w:szCs w:val="20"/>
              </w:rPr>
            </w:pPr>
            <w:r>
              <w:rPr>
                <w:rFonts w:asciiTheme="majorHAnsi" w:eastAsia="Arial" w:hAnsiTheme="majorHAnsi"/>
                <w:b/>
                <w:sz w:val="20"/>
                <w:szCs w:val="20"/>
              </w:rPr>
              <w:t>R$</w:t>
            </w:r>
          </w:p>
        </w:tc>
      </w:tr>
    </w:tbl>
    <w:p>
      <w:pPr>
        <w:jc w:val="both"/>
        <w:rPr>
          <w:rFonts w:asciiTheme="majorHAnsi" w:eastAsia="Arial" w:hAnsiTheme="majorHAnsi"/>
          <w:b/>
        </w:rPr>
      </w:pPr>
    </w:p>
    <w:p>
      <w:pPr>
        <w:jc w:val="both"/>
        <w:rPr>
          <w:rFonts w:asciiTheme="majorHAnsi" w:eastAsia="Arial" w:hAnsiTheme="majorHAnsi"/>
        </w:rPr>
      </w:pPr>
      <w:r>
        <w:rPr>
          <w:rFonts w:asciiTheme="majorHAnsi" w:eastAsia="Arial" w:hAnsiTheme="majorHAnsi"/>
          <w:b/>
        </w:rPr>
        <w:t xml:space="preserve">VALOR TOTAL: </w:t>
      </w:r>
      <w:r>
        <w:rPr>
          <w:rFonts w:asciiTheme="majorHAnsi" w:eastAsia="Arial" w:hAnsiTheme="majorHAnsi"/>
        </w:rPr>
        <w:t>R$ .......................</w:t>
      </w:r>
    </w:p>
    <w:p>
      <w:pPr>
        <w:rPr>
          <w:rFonts w:asciiTheme="majorHAnsi" w:eastAsia="Arial" w:hAnsiTheme="majorHAnsi"/>
        </w:rPr>
      </w:pPr>
      <w:r>
        <w:rPr>
          <w:rFonts w:asciiTheme="majorHAnsi" w:eastAsia="Arial" w:hAnsiTheme="majorHAnsi"/>
          <w:b/>
        </w:rPr>
        <w:t xml:space="preserve">VALIDADE DA PROPOSTA: </w:t>
      </w:r>
      <w:r>
        <w:rPr>
          <w:rFonts w:asciiTheme="majorHAnsi" w:eastAsia="Arial" w:hAnsiTheme="majorHAnsi"/>
        </w:rPr>
        <w:t>60 (sessenta) dias.</w:t>
      </w:r>
    </w:p>
    <w:p>
      <w:pPr>
        <w:jc w:val="both"/>
        <w:rPr>
          <w:rFonts w:asciiTheme="majorHAnsi" w:eastAsia="Arial" w:hAnsiTheme="majorHAnsi"/>
        </w:rPr>
      </w:pPr>
    </w:p>
    <w:p>
      <w:pPr>
        <w:tabs>
          <w:tab w:val="left" w:pos="3726"/>
        </w:tabs>
        <w:rPr>
          <w:rFonts w:asciiTheme="majorHAnsi" w:eastAsia="Arial" w:hAnsiTheme="majorHAnsi"/>
          <w:b/>
        </w:rPr>
      </w:pPr>
      <w:r>
        <w:rPr>
          <w:rFonts w:asciiTheme="majorHAnsi" w:eastAsia="Arial" w:hAnsiTheme="majorHAnsi"/>
          <w:b/>
        </w:rPr>
        <w:t>Observações:</w:t>
      </w:r>
    </w:p>
    <w:p>
      <w:pPr>
        <w:numPr>
          <w:ilvl w:val="0"/>
          <w:numId w:val="24"/>
        </w:numPr>
        <w:pBdr>
          <w:top w:val="nil"/>
          <w:left w:val="nil"/>
          <w:bottom w:val="nil"/>
          <w:right w:val="nil"/>
          <w:between w:val="nil"/>
        </w:pBdr>
        <w:tabs>
          <w:tab w:val="center" w:pos="4419"/>
          <w:tab w:val="right" w:pos="8838"/>
        </w:tabs>
        <w:jc w:val="both"/>
        <w:rPr>
          <w:rFonts w:asciiTheme="majorHAnsi" w:eastAsia="Arial" w:hAnsiTheme="majorHAnsi"/>
          <w:color w:val="000000"/>
        </w:rPr>
      </w:pPr>
      <w:r>
        <w:rPr>
          <w:rFonts w:asciiTheme="majorHAnsi" w:eastAsia="Arial" w:hAnsiTheme="majorHAnsi"/>
          <w:color w:val="000000"/>
        </w:rPr>
        <w:t>O proponente declara que tem o pleno conhecimento, aceitação e cumprirá todas as obrigações contidas no anexo 01 –Termo de Referência deste edital.</w:t>
      </w:r>
    </w:p>
    <w:p>
      <w:pPr>
        <w:numPr>
          <w:ilvl w:val="0"/>
          <w:numId w:val="24"/>
        </w:numPr>
        <w:pBdr>
          <w:top w:val="nil"/>
          <w:left w:val="nil"/>
          <w:bottom w:val="nil"/>
          <w:right w:val="nil"/>
          <w:between w:val="nil"/>
        </w:pBdr>
        <w:tabs>
          <w:tab w:val="center" w:pos="4419"/>
          <w:tab w:val="right" w:pos="8838"/>
        </w:tabs>
        <w:jc w:val="both"/>
        <w:rPr>
          <w:rFonts w:asciiTheme="majorHAnsi" w:eastAsia="Arial" w:hAnsiTheme="majorHAnsi"/>
          <w:color w:val="000000"/>
        </w:rPr>
      </w:pPr>
      <w:r>
        <w:rPr>
          <w:rFonts w:asciiTheme="majorHAnsi" w:eastAsia="Arial" w:hAnsiTheme="majorHAnsi"/>
          <w:color w:val="000000"/>
        </w:rPr>
        <w:t>Independente de declaração expressa, fica subentendida que no valor proposto estão incluídas todas as despesas necessárias ao fornecimento, inclusive as relacionadas com:</w:t>
      </w:r>
    </w:p>
    <w:p>
      <w:pPr>
        <w:ind w:left="284"/>
        <w:jc w:val="both"/>
        <w:rPr>
          <w:rFonts w:asciiTheme="majorHAnsi" w:eastAsia="Arial" w:hAnsiTheme="majorHAnsi"/>
        </w:rPr>
      </w:pPr>
      <w:r>
        <w:rPr>
          <w:rFonts w:asciiTheme="majorHAnsi" w:eastAsia="Arial" w:hAnsiTheme="majorHAnsi"/>
        </w:rPr>
        <w:t>- encargos sociais, trabalhistas, previdenciários e outros;</w:t>
      </w:r>
    </w:p>
    <w:p>
      <w:pPr>
        <w:ind w:left="284"/>
        <w:jc w:val="both"/>
        <w:rPr>
          <w:rFonts w:asciiTheme="majorHAnsi" w:eastAsia="Arial" w:hAnsiTheme="majorHAnsi"/>
        </w:rPr>
      </w:pPr>
      <w:r>
        <w:rPr>
          <w:rFonts w:asciiTheme="majorHAnsi" w:eastAsia="Arial" w:hAnsiTheme="majorHAnsi"/>
        </w:rPr>
        <w:t>- tributos, taxas e tarifas, emolumentos, licenças, alvarás, multas e/ou qualquer infrações;</w:t>
      </w:r>
    </w:p>
    <w:p>
      <w:pPr>
        <w:ind w:left="284"/>
        <w:jc w:val="both"/>
        <w:rPr>
          <w:rFonts w:asciiTheme="majorHAnsi" w:eastAsia="Arial" w:hAnsiTheme="majorHAnsi"/>
        </w:rPr>
      </w:pPr>
      <w:r>
        <w:rPr>
          <w:rFonts w:asciiTheme="majorHAnsi" w:eastAsia="Arial" w:hAnsiTheme="majorHAnsi"/>
        </w:rPr>
        <w:t>- seguros em geral, da infortunística e de responsabilidade civil para quaisquer danos e prejuízos causados à Contratante e/ou a terceiros, gerados direta ou indiretamente pelo fornecimento.</w:t>
      </w:r>
    </w:p>
    <w:p>
      <w:pPr>
        <w:jc w:val="center"/>
        <w:rPr>
          <w:rFonts w:asciiTheme="majorHAnsi" w:eastAsia="Arial" w:hAnsiTheme="majorHAnsi"/>
          <w:b/>
        </w:rPr>
      </w:pPr>
    </w:p>
    <w:p>
      <w:pPr>
        <w:jc w:val="center"/>
        <w:rPr>
          <w:rFonts w:asciiTheme="majorHAnsi" w:eastAsia="Arial" w:hAnsiTheme="majorHAnsi"/>
          <w:b/>
        </w:rPr>
      </w:pPr>
      <w:r>
        <w:rPr>
          <w:rFonts w:asciiTheme="majorHAnsi" w:eastAsia="Arial" w:hAnsiTheme="majorHAnsi"/>
          <w:b/>
        </w:rPr>
        <w:t>Local/Data: ...................., ........... de ............................ de ......................</w:t>
      </w:r>
    </w:p>
    <w:p>
      <w:pPr>
        <w:tabs>
          <w:tab w:val="left" w:pos="1427"/>
        </w:tabs>
        <w:rPr>
          <w:rFonts w:asciiTheme="majorHAnsi" w:eastAsia="Arial" w:hAnsiTheme="majorHAnsi"/>
        </w:rPr>
      </w:pPr>
      <w:r>
        <w:rPr>
          <w:rFonts w:asciiTheme="majorHAnsi" w:eastAsia="Arial" w:hAnsiTheme="majorHAnsi"/>
          <w:b/>
        </w:rPr>
        <w:tab/>
      </w:r>
      <w:r>
        <w:rPr>
          <w:rFonts w:asciiTheme="majorHAnsi" w:eastAsia="Arial" w:hAnsiTheme="majorHAnsi"/>
        </w:rPr>
        <w:tab/>
      </w:r>
      <w:r>
        <w:rPr>
          <w:rFonts w:asciiTheme="majorHAnsi" w:eastAsia="Arial" w:hAnsiTheme="majorHAnsi"/>
        </w:rPr>
        <w:tab/>
      </w:r>
    </w:p>
    <w:p>
      <w:pPr>
        <w:tabs>
          <w:tab w:val="left" w:pos="1427"/>
        </w:tabs>
        <w:rPr>
          <w:rFonts w:asciiTheme="majorHAnsi" w:eastAsia="Arial" w:hAnsiTheme="majorHAnsi"/>
        </w:rPr>
      </w:pPr>
    </w:p>
    <w:p>
      <w:pPr>
        <w:tabs>
          <w:tab w:val="left" w:pos="1427"/>
        </w:tabs>
        <w:rPr>
          <w:rFonts w:asciiTheme="majorHAnsi" w:eastAsia="Arial" w:hAnsiTheme="majorHAnsi"/>
        </w:rPr>
      </w:pPr>
    </w:p>
    <w:p>
      <w:pPr>
        <w:pBdr>
          <w:top w:val="nil"/>
          <w:left w:val="nil"/>
          <w:bottom w:val="nil"/>
          <w:right w:val="nil"/>
          <w:between w:val="nil"/>
        </w:pBdr>
        <w:tabs>
          <w:tab w:val="center" w:pos="4419"/>
          <w:tab w:val="right" w:pos="8838"/>
          <w:tab w:val="left" w:pos="708"/>
        </w:tabs>
        <w:jc w:val="center"/>
        <w:rPr>
          <w:rFonts w:asciiTheme="majorHAnsi" w:eastAsia="Arial" w:hAnsiTheme="majorHAnsi"/>
          <w:b/>
          <w:color w:val="000000"/>
        </w:rPr>
      </w:pPr>
      <w:r>
        <w:rPr>
          <w:rFonts w:asciiTheme="majorHAnsi" w:eastAsia="Arial" w:hAnsiTheme="majorHAnsi"/>
          <w:b/>
          <w:color w:val="000000"/>
        </w:rPr>
        <w:t>Assinatura Proponente</w:t>
      </w:r>
    </w:p>
    <w:p>
      <w:pPr>
        <w:pBdr>
          <w:top w:val="nil"/>
          <w:left w:val="nil"/>
          <w:bottom w:val="nil"/>
          <w:right w:val="nil"/>
          <w:between w:val="nil"/>
        </w:pBdr>
        <w:tabs>
          <w:tab w:val="center" w:pos="4419"/>
          <w:tab w:val="right" w:pos="8838"/>
          <w:tab w:val="left" w:pos="708"/>
        </w:tabs>
        <w:jc w:val="center"/>
        <w:rPr>
          <w:rFonts w:asciiTheme="majorHAnsi" w:eastAsia="Arial" w:hAnsiTheme="majorHAnsi"/>
          <w:b/>
          <w:color w:val="000000"/>
        </w:rPr>
      </w:pPr>
      <w:r>
        <w:rPr>
          <w:rFonts w:asciiTheme="majorHAnsi" w:eastAsia="Arial" w:hAnsiTheme="majorHAnsi"/>
          <w:b/>
          <w:color w:val="000000"/>
        </w:rPr>
        <w:t>Carimbo da empresa/Assinatura do responsável legal</w:t>
      </w:r>
    </w:p>
    <w:p>
      <w:pPr>
        <w:spacing w:after="200" w:line="276" w:lineRule="auto"/>
        <w:rPr>
          <w:rFonts w:asciiTheme="majorHAnsi" w:eastAsia="Arial" w:hAnsiTheme="majorHAnsi"/>
          <w:b/>
        </w:rPr>
      </w:pPr>
    </w:p>
    <w:p>
      <w:pPr>
        <w:spacing w:after="200" w:line="276" w:lineRule="auto"/>
        <w:rPr>
          <w:rFonts w:asciiTheme="majorHAnsi" w:eastAsia="Arial" w:hAnsiTheme="majorHAnsi"/>
          <w:b/>
        </w:rPr>
      </w:pPr>
      <w:r>
        <w:rPr>
          <w:rFonts w:asciiTheme="majorHAnsi" w:hAnsiTheme="majorHAnsi"/>
        </w:rPr>
        <w:br w:type="page"/>
      </w:r>
    </w:p>
    <w:p>
      <w:pPr>
        <w:pStyle w:val="Ttulo1"/>
        <w:numPr>
          <w:ilvl w:val="0"/>
          <w:numId w:val="0"/>
        </w:numPr>
        <w:shd w:val="clear" w:color="auto" w:fill="F2F2F2"/>
        <w:jc w:val="center"/>
        <w:rPr>
          <w:rFonts w:asciiTheme="majorHAnsi" w:hAnsiTheme="majorHAnsi" w:cs="Times New Roman"/>
        </w:rPr>
      </w:pPr>
      <w:bookmarkStart w:id="66" w:name="_heading=h.2u6wntf" w:colFirst="0" w:colLast="0"/>
      <w:bookmarkEnd w:id="66"/>
      <w:r>
        <w:rPr>
          <w:rFonts w:asciiTheme="majorHAnsi" w:hAnsiTheme="majorHAnsi" w:cs="Times New Roman"/>
        </w:rPr>
        <w:lastRenderedPageBreak/>
        <w:t>ANEXO IV - MINUTA DO CONTRATO</w:t>
      </w:r>
    </w:p>
    <w:p>
      <w:pPr>
        <w:jc w:val="both"/>
        <w:rPr>
          <w:rFonts w:asciiTheme="majorHAnsi" w:eastAsia="Arial" w:hAnsiTheme="majorHAnsi"/>
        </w:rPr>
      </w:pPr>
    </w:p>
    <w:p>
      <w:pPr>
        <w:jc w:val="both"/>
        <w:rPr>
          <w:rFonts w:asciiTheme="majorHAnsi" w:eastAsia="Arial" w:hAnsiTheme="majorHAnsi"/>
          <w:b/>
        </w:rPr>
      </w:pPr>
      <w:r>
        <w:rPr>
          <w:rFonts w:asciiTheme="majorHAnsi" w:eastAsia="Arial" w:hAnsiTheme="majorHAnsi"/>
          <w:b/>
        </w:rPr>
        <w:t>CONTRATO Nº _____________</w:t>
      </w:r>
    </w:p>
    <w:p>
      <w:pPr>
        <w:rPr>
          <w:rFonts w:asciiTheme="majorHAnsi" w:eastAsia="Arial" w:hAnsiTheme="majorHAnsi"/>
          <w:b/>
        </w:rPr>
      </w:pPr>
      <w:r>
        <w:rPr>
          <w:rFonts w:asciiTheme="majorHAnsi" w:eastAsia="Arial" w:hAnsiTheme="majorHAnsi"/>
          <w:b/>
        </w:rPr>
        <w:t>PREGÃO ELETRÔNICO Nº _________________</w:t>
      </w:r>
    </w:p>
    <w:p>
      <w:pPr>
        <w:ind w:left="5103"/>
        <w:jc w:val="both"/>
        <w:rPr>
          <w:rFonts w:asciiTheme="majorHAnsi" w:eastAsia="Arial" w:hAnsiTheme="majorHAnsi"/>
        </w:rPr>
      </w:pPr>
      <w:r>
        <w:rPr>
          <w:rFonts w:asciiTheme="majorHAnsi" w:eastAsia="Arial" w:hAnsiTheme="majorHAnsi"/>
        </w:rPr>
        <w:t xml:space="preserve">CONTRATO QUE ENTRE SI CELEBRAM, DE UM LADO A PREFEITURA MUNICIPAL DE MIRAÍMA/CE, E DO OUTRO A EMPRESA </w:t>
      </w:r>
      <w:r>
        <w:rPr>
          <w:rFonts w:asciiTheme="majorHAnsi" w:eastAsia="Arial" w:hAnsiTheme="majorHAnsi"/>
          <w:b/>
        </w:rPr>
        <w:t xml:space="preserve">______________ </w:t>
      </w:r>
      <w:r>
        <w:rPr>
          <w:rFonts w:asciiTheme="majorHAnsi" w:eastAsia="Arial" w:hAnsiTheme="majorHAnsi"/>
        </w:rPr>
        <w:t>PARA O FIM QUE NELE SE DECLARA.</w:t>
      </w:r>
    </w:p>
    <w:p>
      <w:pPr>
        <w:tabs>
          <w:tab w:val="left" w:pos="8100"/>
        </w:tabs>
        <w:jc w:val="both"/>
        <w:rPr>
          <w:rFonts w:asciiTheme="majorHAnsi" w:eastAsia="Arial" w:hAnsiTheme="majorHAnsi"/>
        </w:rPr>
      </w:pPr>
    </w:p>
    <w:p>
      <w:pPr>
        <w:tabs>
          <w:tab w:val="left" w:pos="8100"/>
        </w:tabs>
        <w:jc w:val="both"/>
        <w:rPr>
          <w:rFonts w:asciiTheme="majorHAnsi" w:eastAsia="Arial" w:hAnsiTheme="majorHAnsi"/>
          <w:b/>
        </w:rPr>
      </w:pPr>
      <w:r>
        <w:rPr>
          <w:rFonts w:asciiTheme="majorHAnsi" w:eastAsia="Arial" w:hAnsiTheme="majorHAnsi"/>
        </w:rPr>
        <w:t xml:space="preserve">O município de MIRAÍMA/CE, por meio da </w:t>
      </w:r>
      <w:r>
        <w:rPr>
          <w:rFonts w:asciiTheme="majorHAnsi" w:eastAsia="Arial" w:hAnsiTheme="majorHAnsi"/>
          <w:b/>
        </w:rPr>
        <w:t xml:space="preserve">PREFEITURA MUNICIPAL DE MIRAÍMA, </w:t>
      </w:r>
      <w:r>
        <w:rPr>
          <w:rFonts w:asciiTheme="majorHAnsi" w:eastAsia="Arial" w:hAnsiTheme="majorHAnsi"/>
        </w:rPr>
        <w:t xml:space="preserve">Estado do Ceará, pessoa jurídica de direito público interno, inscrita no CNPJ sob o N.º [CNPJ], com sede de sua Prefeitura Municipal na [ENDEREÇO] Miraíma/CE, através da </w:t>
      </w:r>
      <w:r>
        <w:rPr>
          <w:rFonts w:asciiTheme="majorHAnsi" w:eastAsia="Arial" w:hAnsiTheme="majorHAnsi"/>
          <w:b/>
          <w:smallCaps/>
        </w:rPr>
        <w:t>SECRETARIA DE __________________</w:t>
      </w:r>
      <w:r>
        <w:rPr>
          <w:rFonts w:asciiTheme="majorHAnsi" w:eastAsia="Arial" w:hAnsiTheme="majorHAnsi"/>
        </w:rPr>
        <w:t xml:space="preserve">, neste ato representado(a) pelo(a) Sr(a). _______________, C.P.F. N° _______________, aqui denominado(a) de </w:t>
      </w:r>
      <w:r>
        <w:rPr>
          <w:rFonts w:asciiTheme="majorHAnsi" w:eastAsia="Arial" w:hAnsiTheme="majorHAnsi"/>
          <w:b/>
        </w:rPr>
        <w:t>CONTRATANTE</w:t>
      </w:r>
      <w:r>
        <w:rPr>
          <w:rFonts w:asciiTheme="majorHAnsi" w:eastAsia="Arial" w:hAnsiTheme="majorHAnsi"/>
        </w:rPr>
        <w:t xml:space="preserve">, e de outro lado a Empresa ______________________, estabelecida na _________________, inscrita no CNPJ/MF sob o n.º _________________________, neste ato representada pelo (a) Sr(a). ______________________, portador (a) do CPF nº _____________, apenas denominada de </w:t>
      </w:r>
      <w:r>
        <w:rPr>
          <w:rFonts w:asciiTheme="majorHAnsi" w:eastAsia="Arial" w:hAnsiTheme="majorHAnsi"/>
          <w:b/>
        </w:rPr>
        <w:t>CONTRATADA</w:t>
      </w:r>
      <w:r>
        <w:rPr>
          <w:rFonts w:asciiTheme="majorHAnsi" w:eastAsia="Arial" w:hAnsiTheme="majorHAnsi"/>
        </w:rPr>
        <w:t>, firmam entre si o presente TERMO DE CONTRATO mediante as cláusulas e condições a seguir estabelecidas:</w:t>
      </w:r>
    </w:p>
    <w:p>
      <w:pPr>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PRIMEIRA - DO FUNDAMENTO LEGAL</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1.1.</w:t>
      </w:r>
      <w:r>
        <w:rPr>
          <w:rFonts w:asciiTheme="majorHAnsi" w:eastAsia="Arial" w:hAnsiTheme="majorHAnsi"/>
        </w:rPr>
        <w:t xml:space="preserve"> Processo de Licitação, na modalidade Pregão Eletrônico tombado sob o nº </w:t>
      </w:r>
      <w:r>
        <w:rPr>
          <w:rFonts w:asciiTheme="majorHAnsi" w:eastAsia="Arial" w:hAnsiTheme="majorHAnsi"/>
          <w:b/>
        </w:rPr>
        <w:t xml:space="preserve">________ </w:t>
      </w:r>
      <w:r>
        <w:rPr>
          <w:rFonts w:asciiTheme="majorHAnsi" w:eastAsia="Arial" w:hAnsiTheme="majorHAnsi"/>
        </w:rPr>
        <w:t>em conformidade com a Lei Federal Nº 14.133/2021 de 1º de abril de 2021 - Lei das Licitações Públicas.</w:t>
      </w:r>
    </w:p>
    <w:p>
      <w:pPr>
        <w:jc w:val="both"/>
        <w:rPr>
          <w:rFonts w:asciiTheme="majorHAnsi" w:eastAsia="Arial" w:hAnsiTheme="majorHAnsi"/>
        </w:rPr>
      </w:pPr>
    </w:p>
    <w:p>
      <w:pPr>
        <w:jc w:val="both"/>
        <w:rPr>
          <w:rFonts w:asciiTheme="majorHAnsi" w:eastAsia="Arial" w:hAnsiTheme="majorHAnsi"/>
          <w:b/>
        </w:rPr>
      </w:pPr>
      <w:r>
        <w:rPr>
          <w:rFonts w:asciiTheme="majorHAnsi" w:eastAsia="Arial" w:hAnsiTheme="majorHAnsi"/>
          <w:b/>
        </w:rPr>
        <w:t>CLÁUSULA SEGUNDA - DO OBJETO</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shd w:val="clear" w:color="auto" w:fill="FFFFFF"/>
        <w:tabs>
          <w:tab w:val="left" w:pos="284"/>
        </w:tabs>
        <w:spacing w:after="200"/>
        <w:jc w:val="both"/>
        <w:rPr>
          <w:rFonts w:asciiTheme="majorHAnsi" w:eastAsia="Arial" w:hAnsiTheme="majorHAnsi"/>
        </w:rPr>
      </w:pPr>
      <w:r>
        <w:rPr>
          <w:rFonts w:asciiTheme="majorHAnsi" w:eastAsia="Arial" w:hAnsiTheme="majorHAnsi"/>
          <w:b/>
        </w:rPr>
        <w:t>2.1.</w:t>
      </w:r>
      <w:r>
        <w:rPr>
          <w:rFonts w:asciiTheme="majorHAnsi" w:eastAsia="Arial" w:hAnsiTheme="majorHAnsi"/>
        </w:rPr>
        <w:t xml:space="preserve"> Constitui objeto do presente o </w:t>
      </w:r>
      <w:r>
        <w:rPr>
          <w:rFonts w:asciiTheme="majorHAnsi" w:eastAsia="Arial" w:hAnsiTheme="majorHAnsi"/>
          <w:b/>
        </w:rPr>
        <w:t>&lt;OBJETO&gt;</w:t>
      </w:r>
      <w:r>
        <w:rPr>
          <w:rFonts w:asciiTheme="majorHAnsi" w:eastAsia="Arial" w:hAnsiTheme="majorHAnsi"/>
        </w:rPr>
        <w:t>, tudo conforme especificações contidas no Projeto Básico/Termo de Referência, constante do ANEXO 01 do Edital.</w:t>
      </w:r>
    </w:p>
    <w:p>
      <w:pPr>
        <w:ind w:right="-5"/>
        <w:jc w:val="both"/>
        <w:rPr>
          <w:rFonts w:asciiTheme="majorHAnsi" w:eastAsia="Arial" w:hAnsiTheme="majorHAnsi"/>
          <w:b/>
        </w:rPr>
      </w:pPr>
      <w:r>
        <w:rPr>
          <w:rFonts w:asciiTheme="majorHAnsi" w:eastAsia="Arial" w:hAnsiTheme="majorHAnsi"/>
          <w:b/>
        </w:rPr>
        <w:t>CLÁUSULA TERCEIRA - DO VALOR, DO REAJUSTE E DO REEQUILÍBRIO ECONÔMICO-FINANCEIRO</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ind w:right="-5"/>
        <w:jc w:val="both"/>
        <w:rPr>
          <w:rFonts w:asciiTheme="majorHAnsi" w:eastAsia="Arial" w:hAnsiTheme="majorHAnsi"/>
        </w:rPr>
      </w:pPr>
      <w:r>
        <w:rPr>
          <w:rFonts w:asciiTheme="majorHAnsi" w:eastAsia="Arial" w:hAnsiTheme="majorHAnsi"/>
          <w:b/>
        </w:rPr>
        <w:t>3.1.</w:t>
      </w:r>
      <w:r>
        <w:rPr>
          <w:rFonts w:asciiTheme="majorHAnsi" w:eastAsia="Arial" w:hAnsiTheme="majorHAnsi"/>
        </w:rPr>
        <w:t xml:space="preserve"> O valor global da presente avença é de R$ ____ (___), a ser pago na proporção da entrega dos produtos licitados, segundo as ordens de compras/autorizações de fornecimento expedidas pela Administração, de conformidade com as notas fiscais/faturas devidamente atestadas pelo Gestor da despesa, acompanhadas das Certidões Federal, Estadual, Municipal, FGTS e CNDT do proponente vencedor, todas atualizadas, observadas as condições da proposta.</w:t>
      </w:r>
    </w:p>
    <w:p>
      <w:pPr>
        <w:jc w:val="both"/>
        <w:rPr>
          <w:rFonts w:asciiTheme="majorHAnsi" w:eastAsia="Arial" w:hAnsiTheme="majorHAnsi"/>
        </w:rPr>
      </w:pPr>
      <w:r>
        <w:rPr>
          <w:rFonts w:asciiTheme="majorHAnsi" w:eastAsia="Arial" w:hAnsiTheme="majorHAnsi"/>
          <w:b/>
        </w:rPr>
        <w:t>3.2.</w:t>
      </w:r>
      <w:r>
        <w:rPr>
          <w:rFonts w:asciiTheme="majorHAnsi" w:eastAsia="Arial" w:hAnsiTheme="majorHAnsi"/>
        </w:rPr>
        <w:t xml:space="preserve"> O valor do presente Contrato não será objeto de reajuste, antes de decorridos 12 (doze) meses da contratação, hipótese na qual poderá ser utilizado o índice IGP-M da Fundação Getúlio Vargas.</w:t>
      </w:r>
    </w:p>
    <w:p>
      <w:pPr>
        <w:jc w:val="both"/>
        <w:rPr>
          <w:rFonts w:asciiTheme="majorHAnsi" w:eastAsia="Arial" w:hAnsiTheme="majorHAnsi"/>
        </w:rPr>
      </w:pPr>
      <w:r>
        <w:rPr>
          <w:rFonts w:asciiTheme="majorHAnsi" w:eastAsia="Arial" w:hAnsiTheme="majorHAnsi"/>
          <w:b/>
        </w:rPr>
        <w:t>3.3.</w:t>
      </w:r>
      <w:r>
        <w:rPr>
          <w:rFonts w:asciiTheme="majorHAnsi" w:eastAsia="Arial" w:hAnsiTheme="majorHAnsi"/>
        </w:rPr>
        <w:t xml:space="preserve"> O pagamento será efetuado em até 30 (trinta) dias, após adimplemento da obrigação e encaminhamento da documentação tratada no subitem 3.1, observadas as disposições editalícias, através de crédito na Conta Bancária do fornecedor ou através de cheque nominal.</w:t>
      </w:r>
    </w:p>
    <w:p>
      <w:pPr>
        <w:jc w:val="both"/>
        <w:rPr>
          <w:rFonts w:asciiTheme="majorHAnsi" w:eastAsia="Arial" w:hAnsiTheme="majorHAnsi"/>
        </w:rPr>
      </w:pPr>
      <w:r>
        <w:rPr>
          <w:rFonts w:asciiTheme="majorHAnsi" w:eastAsia="Arial" w:hAnsiTheme="majorHAnsi"/>
          <w:b/>
        </w:rPr>
        <w:t>3.4.</w:t>
      </w:r>
      <w:r>
        <w:rPr>
          <w:rFonts w:asciiTheme="majorHAnsi" w:eastAsia="Arial" w:hAnsiTheme="majorHAnsi"/>
        </w:rPr>
        <w:t xml:space="preserve"> Por ocasião da entrega dos produtos, o contratado deverá apresentar recibo em 02 (duas) vias e a respectiva Nota Fiscal. A Fatura e Nota Fiscal deverá ser emitida em nome da Secretaria de *****, com endereço na ************************** CNPJ/MF sob o nº **********************.</w:t>
      </w:r>
    </w:p>
    <w:tbl>
      <w:tblPr>
        <w:tblStyle w:val="aa"/>
        <w:tblW w:w="971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3399"/>
        <w:gridCol w:w="1455"/>
        <w:gridCol w:w="1001"/>
        <w:gridCol w:w="1003"/>
        <w:gridCol w:w="984"/>
        <w:gridCol w:w="1160"/>
      </w:tblGrid>
      <w:tr>
        <w:trPr>
          <w:trHeight w:val="852"/>
          <w:tblHeader/>
          <w:jc w:val="center"/>
        </w:trPr>
        <w:tc>
          <w:tcPr>
            <w:tcW w:w="709" w:type="dxa"/>
            <w:shd w:val="clear" w:color="auto" w:fill="D9D9D9"/>
            <w:vAlign w:val="center"/>
          </w:tcPr>
          <w:p>
            <w:pPr>
              <w:jc w:val="center"/>
              <w:rPr>
                <w:rFonts w:asciiTheme="majorHAnsi" w:eastAsia="Arial" w:hAnsiTheme="majorHAnsi"/>
                <w:b/>
              </w:rPr>
            </w:pPr>
            <w:r>
              <w:rPr>
                <w:rFonts w:asciiTheme="majorHAnsi" w:eastAsia="Arial" w:hAnsiTheme="majorHAnsi"/>
                <w:b/>
              </w:rPr>
              <w:lastRenderedPageBreak/>
              <w:t>ITEM</w:t>
            </w:r>
          </w:p>
        </w:tc>
        <w:tc>
          <w:tcPr>
            <w:tcW w:w="3399" w:type="dxa"/>
            <w:shd w:val="clear" w:color="auto" w:fill="D9D9D9"/>
            <w:vAlign w:val="center"/>
          </w:tcPr>
          <w:p>
            <w:pPr>
              <w:jc w:val="center"/>
              <w:rPr>
                <w:rFonts w:asciiTheme="majorHAnsi" w:eastAsia="Arial" w:hAnsiTheme="majorHAnsi"/>
                <w:b/>
              </w:rPr>
            </w:pPr>
            <w:r>
              <w:rPr>
                <w:rFonts w:asciiTheme="majorHAnsi" w:eastAsia="Arial" w:hAnsiTheme="majorHAnsi"/>
                <w:b/>
              </w:rPr>
              <w:t>DESCRIÇÃO</w:t>
            </w:r>
          </w:p>
        </w:tc>
        <w:tc>
          <w:tcPr>
            <w:tcW w:w="1455" w:type="dxa"/>
            <w:shd w:val="clear" w:color="auto" w:fill="D9D9D9"/>
            <w:vAlign w:val="center"/>
          </w:tcPr>
          <w:p>
            <w:pPr>
              <w:jc w:val="center"/>
              <w:rPr>
                <w:rFonts w:asciiTheme="majorHAnsi" w:eastAsia="Arial" w:hAnsiTheme="majorHAnsi"/>
                <w:b/>
              </w:rPr>
            </w:pPr>
            <w:r>
              <w:rPr>
                <w:rFonts w:asciiTheme="majorHAnsi" w:eastAsia="Arial" w:hAnsiTheme="majorHAnsi"/>
                <w:b/>
              </w:rPr>
              <w:t>UNID</w:t>
            </w:r>
          </w:p>
        </w:tc>
        <w:tc>
          <w:tcPr>
            <w:tcW w:w="1001" w:type="dxa"/>
            <w:shd w:val="clear" w:color="auto" w:fill="D9D9D9"/>
            <w:vAlign w:val="center"/>
          </w:tcPr>
          <w:p>
            <w:pPr>
              <w:jc w:val="center"/>
              <w:rPr>
                <w:rFonts w:asciiTheme="majorHAnsi" w:eastAsia="Arial" w:hAnsiTheme="majorHAnsi"/>
                <w:b/>
              </w:rPr>
            </w:pPr>
            <w:r>
              <w:rPr>
                <w:rFonts w:asciiTheme="majorHAnsi" w:eastAsia="Arial" w:hAnsiTheme="majorHAnsi"/>
                <w:b/>
              </w:rPr>
              <w:t>MARCA</w:t>
            </w:r>
          </w:p>
        </w:tc>
        <w:tc>
          <w:tcPr>
            <w:tcW w:w="1003" w:type="dxa"/>
            <w:shd w:val="clear" w:color="auto" w:fill="D9D9D9"/>
            <w:vAlign w:val="center"/>
          </w:tcPr>
          <w:p>
            <w:pPr>
              <w:jc w:val="center"/>
              <w:rPr>
                <w:rFonts w:asciiTheme="majorHAnsi" w:eastAsia="Arial" w:hAnsiTheme="majorHAnsi"/>
                <w:b/>
              </w:rPr>
            </w:pPr>
            <w:r>
              <w:rPr>
                <w:rFonts w:asciiTheme="majorHAnsi" w:eastAsia="Arial" w:hAnsiTheme="majorHAnsi"/>
                <w:b/>
              </w:rPr>
              <w:t xml:space="preserve">QUANT. TOTAL </w:t>
            </w:r>
          </w:p>
        </w:tc>
        <w:tc>
          <w:tcPr>
            <w:tcW w:w="984" w:type="dxa"/>
            <w:shd w:val="clear" w:color="auto" w:fill="D9D9D9"/>
            <w:vAlign w:val="center"/>
          </w:tcPr>
          <w:p>
            <w:pPr>
              <w:jc w:val="center"/>
              <w:rPr>
                <w:rFonts w:asciiTheme="majorHAnsi" w:eastAsia="Arial" w:hAnsiTheme="majorHAnsi"/>
                <w:b/>
              </w:rPr>
            </w:pPr>
            <w:r>
              <w:rPr>
                <w:rFonts w:asciiTheme="majorHAnsi" w:eastAsia="Arial" w:hAnsiTheme="majorHAnsi"/>
                <w:b/>
              </w:rPr>
              <w:t>VALOR UNIT</w:t>
            </w:r>
          </w:p>
        </w:tc>
        <w:tc>
          <w:tcPr>
            <w:tcW w:w="1160" w:type="dxa"/>
            <w:shd w:val="clear" w:color="auto" w:fill="D9D9D9"/>
            <w:vAlign w:val="center"/>
          </w:tcPr>
          <w:p>
            <w:pPr>
              <w:jc w:val="center"/>
              <w:rPr>
                <w:rFonts w:asciiTheme="majorHAnsi" w:eastAsia="Arial" w:hAnsiTheme="majorHAnsi"/>
                <w:b/>
              </w:rPr>
            </w:pPr>
            <w:r>
              <w:rPr>
                <w:rFonts w:asciiTheme="majorHAnsi" w:eastAsia="Arial" w:hAnsiTheme="majorHAnsi"/>
                <w:b/>
              </w:rPr>
              <w:t>VALOR TOTAL</w:t>
            </w:r>
          </w:p>
        </w:tc>
      </w:tr>
      <w:tr>
        <w:trPr>
          <w:trHeight w:val="20"/>
          <w:tblHeader/>
          <w:jc w:val="center"/>
        </w:trPr>
        <w:tc>
          <w:tcPr>
            <w:tcW w:w="709" w:type="dxa"/>
            <w:shd w:val="clear" w:color="auto" w:fill="auto"/>
            <w:vAlign w:val="center"/>
          </w:tcPr>
          <w:p>
            <w:pPr>
              <w:jc w:val="center"/>
              <w:rPr>
                <w:rFonts w:asciiTheme="majorHAnsi" w:eastAsia="Arial" w:hAnsiTheme="majorHAnsi"/>
              </w:rPr>
            </w:pPr>
            <w:r>
              <w:rPr>
                <w:rFonts w:asciiTheme="majorHAnsi" w:eastAsia="Arial" w:hAnsiTheme="majorHAnsi"/>
              </w:rPr>
              <w:t>1</w:t>
            </w:r>
          </w:p>
        </w:tc>
        <w:tc>
          <w:tcPr>
            <w:tcW w:w="3399" w:type="dxa"/>
            <w:shd w:val="clear" w:color="auto" w:fill="auto"/>
            <w:vAlign w:val="bottom"/>
          </w:tcPr>
          <w:p>
            <w:pPr>
              <w:jc w:val="both"/>
              <w:rPr>
                <w:rFonts w:asciiTheme="majorHAnsi" w:eastAsia="Arial" w:hAnsiTheme="majorHAnsi"/>
              </w:rPr>
            </w:pPr>
          </w:p>
        </w:tc>
        <w:tc>
          <w:tcPr>
            <w:tcW w:w="1455" w:type="dxa"/>
            <w:vAlign w:val="center"/>
          </w:tcPr>
          <w:p>
            <w:pPr>
              <w:jc w:val="center"/>
              <w:rPr>
                <w:rFonts w:asciiTheme="majorHAnsi" w:eastAsia="Arial" w:hAnsiTheme="majorHAnsi"/>
              </w:rPr>
            </w:pPr>
          </w:p>
        </w:tc>
        <w:tc>
          <w:tcPr>
            <w:tcW w:w="1001" w:type="dxa"/>
          </w:tcPr>
          <w:p>
            <w:pPr>
              <w:jc w:val="center"/>
              <w:rPr>
                <w:rFonts w:asciiTheme="majorHAnsi" w:eastAsia="Arial" w:hAnsiTheme="majorHAnsi"/>
              </w:rPr>
            </w:pPr>
          </w:p>
        </w:tc>
        <w:tc>
          <w:tcPr>
            <w:tcW w:w="1003" w:type="dxa"/>
            <w:shd w:val="clear" w:color="auto" w:fill="auto"/>
            <w:vAlign w:val="center"/>
          </w:tcPr>
          <w:p>
            <w:pPr>
              <w:jc w:val="center"/>
              <w:rPr>
                <w:rFonts w:asciiTheme="majorHAnsi" w:eastAsia="Arial" w:hAnsiTheme="majorHAnsi"/>
              </w:rPr>
            </w:pPr>
          </w:p>
        </w:tc>
        <w:tc>
          <w:tcPr>
            <w:tcW w:w="984" w:type="dxa"/>
            <w:vAlign w:val="center"/>
          </w:tcPr>
          <w:p>
            <w:pPr>
              <w:jc w:val="center"/>
              <w:rPr>
                <w:rFonts w:asciiTheme="majorHAnsi" w:eastAsia="Arial" w:hAnsiTheme="majorHAnsi"/>
              </w:rPr>
            </w:pPr>
          </w:p>
        </w:tc>
        <w:tc>
          <w:tcPr>
            <w:tcW w:w="1160" w:type="dxa"/>
            <w:vAlign w:val="center"/>
          </w:tcPr>
          <w:p>
            <w:pPr>
              <w:jc w:val="center"/>
              <w:rPr>
                <w:rFonts w:asciiTheme="majorHAnsi" w:eastAsia="Arial" w:hAnsiTheme="majorHAnsi"/>
              </w:rPr>
            </w:pPr>
          </w:p>
        </w:tc>
      </w:tr>
      <w:tr>
        <w:trPr>
          <w:trHeight w:val="20"/>
          <w:tblHeader/>
          <w:jc w:val="center"/>
        </w:trPr>
        <w:tc>
          <w:tcPr>
            <w:tcW w:w="709" w:type="dxa"/>
            <w:shd w:val="clear" w:color="auto" w:fill="auto"/>
            <w:vAlign w:val="center"/>
          </w:tcPr>
          <w:p>
            <w:pPr>
              <w:jc w:val="center"/>
              <w:rPr>
                <w:rFonts w:asciiTheme="majorHAnsi" w:eastAsia="Arial" w:hAnsiTheme="majorHAnsi"/>
              </w:rPr>
            </w:pPr>
            <w:r>
              <w:rPr>
                <w:rFonts w:asciiTheme="majorHAnsi" w:eastAsia="Arial" w:hAnsiTheme="majorHAnsi"/>
              </w:rPr>
              <w:t>2</w:t>
            </w:r>
          </w:p>
        </w:tc>
        <w:tc>
          <w:tcPr>
            <w:tcW w:w="3399" w:type="dxa"/>
            <w:shd w:val="clear" w:color="auto" w:fill="auto"/>
            <w:vAlign w:val="bottom"/>
          </w:tcPr>
          <w:p>
            <w:pPr>
              <w:jc w:val="both"/>
              <w:rPr>
                <w:rFonts w:asciiTheme="majorHAnsi" w:eastAsia="Arial" w:hAnsiTheme="majorHAnsi"/>
              </w:rPr>
            </w:pPr>
          </w:p>
        </w:tc>
        <w:tc>
          <w:tcPr>
            <w:tcW w:w="1455" w:type="dxa"/>
            <w:vAlign w:val="center"/>
          </w:tcPr>
          <w:p>
            <w:pPr>
              <w:jc w:val="center"/>
              <w:rPr>
                <w:rFonts w:asciiTheme="majorHAnsi" w:eastAsia="Arial" w:hAnsiTheme="majorHAnsi"/>
              </w:rPr>
            </w:pPr>
          </w:p>
        </w:tc>
        <w:tc>
          <w:tcPr>
            <w:tcW w:w="1001" w:type="dxa"/>
          </w:tcPr>
          <w:p>
            <w:pPr>
              <w:jc w:val="center"/>
              <w:rPr>
                <w:rFonts w:asciiTheme="majorHAnsi" w:eastAsia="Arial" w:hAnsiTheme="majorHAnsi"/>
              </w:rPr>
            </w:pPr>
          </w:p>
        </w:tc>
        <w:tc>
          <w:tcPr>
            <w:tcW w:w="1003" w:type="dxa"/>
            <w:shd w:val="clear" w:color="auto" w:fill="auto"/>
            <w:vAlign w:val="center"/>
          </w:tcPr>
          <w:p>
            <w:pPr>
              <w:jc w:val="center"/>
              <w:rPr>
                <w:rFonts w:asciiTheme="majorHAnsi" w:eastAsia="Arial" w:hAnsiTheme="majorHAnsi"/>
              </w:rPr>
            </w:pPr>
          </w:p>
        </w:tc>
        <w:tc>
          <w:tcPr>
            <w:tcW w:w="984" w:type="dxa"/>
            <w:vAlign w:val="center"/>
          </w:tcPr>
          <w:p>
            <w:pPr>
              <w:jc w:val="center"/>
              <w:rPr>
                <w:rFonts w:asciiTheme="majorHAnsi" w:eastAsia="Arial" w:hAnsiTheme="majorHAnsi"/>
              </w:rPr>
            </w:pPr>
          </w:p>
        </w:tc>
        <w:tc>
          <w:tcPr>
            <w:tcW w:w="1160" w:type="dxa"/>
            <w:vAlign w:val="center"/>
          </w:tcPr>
          <w:p>
            <w:pPr>
              <w:jc w:val="center"/>
              <w:rPr>
                <w:rFonts w:asciiTheme="majorHAnsi" w:eastAsia="Arial" w:hAnsiTheme="majorHAnsi"/>
              </w:rPr>
            </w:pPr>
          </w:p>
        </w:tc>
      </w:tr>
    </w:tbl>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QUARTA – DO PRAZO DE VIGÊNCIA</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4.1.</w:t>
      </w:r>
      <w:r>
        <w:rPr>
          <w:rFonts w:asciiTheme="majorHAnsi" w:eastAsia="Arial" w:hAnsiTheme="majorHAnsi"/>
        </w:rPr>
        <w:t xml:space="preserve"> O presente Instrumento produzirá seus jurídicos e legais efeitos a partir da data de sua assinatura e vigerá até ___ de _______ do ano firmado.</w:t>
      </w:r>
    </w:p>
    <w:p>
      <w:pPr>
        <w:jc w:val="both"/>
        <w:rPr>
          <w:rFonts w:asciiTheme="majorHAnsi" w:eastAsia="Arial" w:hAnsiTheme="majorHAnsi"/>
        </w:rPr>
      </w:pPr>
    </w:p>
    <w:p>
      <w:pPr>
        <w:jc w:val="both"/>
        <w:rPr>
          <w:rFonts w:asciiTheme="majorHAnsi" w:eastAsia="Arial" w:hAnsiTheme="majorHAnsi"/>
          <w:b/>
        </w:rPr>
      </w:pPr>
      <w:r>
        <w:rPr>
          <w:rFonts w:asciiTheme="majorHAnsi" w:eastAsia="Arial" w:hAnsiTheme="majorHAnsi"/>
          <w:b/>
        </w:rPr>
        <w:t>CLÁUSULA QUINTA - DA ORIGEM DOS RECURSOS</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5.1.</w:t>
      </w:r>
      <w:r>
        <w:rPr>
          <w:rFonts w:asciiTheme="majorHAnsi" w:eastAsia="Arial" w:hAnsiTheme="majorHAnsi"/>
        </w:rPr>
        <w:t xml:space="preserve"> As despesas decorrentes desta contratação correrão à conta de recursos específicos consignados no respectivo Orçamento Municipal, inerentes a ____________: </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SEXTA - DA OBRIGAÇÃO DAS PARTES</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6.1</w:t>
      </w:r>
      <w:r>
        <w:rPr>
          <w:rFonts w:asciiTheme="majorHAnsi" w:eastAsia="Arial" w:hAnsiTheme="majorHAnsi"/>
        </w:rPr>
        <w:t>. As partes se obrigam reciprocamente a cumprir integralmente as disposições do instrumento convocatório, da Lei Federal nº 14.133/2021 de 1º de abril de 2021, alterada e consolidada e da Lei Federal n.º 14.133/02, e da proposta adjudicada.</w:t>
      </w:r>
    </w:p>
    <w:p>
      <w:pPr>
        <w:jc w:val="both"/>
        <w:rPr>
          <w:rFonts w:asciiTheme="majorHAnsi" w:eastAsia="Arial" w:hAnsiTheme="majorHAnsi"/>
        </w:rPr>
      </w:pPr>
      <w:r>
        <w:rPr>
          <w:rFonts w:asciiTheme="majorHAnsi" w:eastAsia="Arial" w:hAnsiTheme="majorHAnsi"/>
          <w:b/>
        </w:rPr>
        <w:t>6.2.</w:t>
      </w:r>
      <w:r>
        <w:rPr>
          <w:rFonts w:asciiTheme="majorHAnsi" w:eastAsia="Arial" w:hAnsiTheme="majorHAnsi"/>
        </w:rPr>
        <w:t xml:space="preserve"> O CONTRATADO obriga-se a</w:t>
      </w:r>
    </w:p>
    <w:p>
      <w:pPr>
        <w:ind w:left="708"/>
        <w:jc w:val="both"/>
        <w:rPr>
          <w:rFonts w:asciiTheme="majorHAnsi" w:eastAsia="Arial" w:hAnsiTheme="majorHAnsi"/>
        </w:rPr>
      </w:pPr>
      <w:r>
        <w:rPr>
          <w:rFonts w:asciiTheme="majorHAnsi" w:eastAsia="Arial" w:hAnsiTheme="majorHAnsi"/>
          <w:b/>
        </w:rPr>
        <w:t>a)</w:t>
      </w:r>
      <w:r>
        <w:rPr>
          <w:rFonts w:asciiTheme="majorHAnsi" w:eastAsia="Arial" w:hAnsiTheme="majorHAnsi"/>
        </w:rPr>
        <w:t xml:space="preserve"> executar o fornecimento dos produtos contratados dentro dos padrões estabelecidos pelo MUNICÍPIO, de acordo com o especificado no instrumento convocatório e no ANEXO 01, que fazem parte deste instrumento, observando, ainda, todas as normas técnicas que eventualmente regulem o fornecimento, responsabilizando-se por eventuais prejuízos decorrentes do descumprimento de qualquer cláusula ou condição aqui estabelecida;</w:t>
      </w:r>
    </w:p>
    <w:p>
      <w:pPr>
        <w:ind w:left="708"/>
        <w:jc w:val="both"/>
        <w:rPr>
          <w:rFonts w:asciiTheme="majorHAnsi" w:eastAsia="Arial" w:hAnsiTheme="majorHAnsi"/>
        </w:rPr>
      </w:pPr>
      <w:r>
        <w:rPr>
          <w:rFonts w:asciiTheme="majorHAnsi" w:eastAsia="Arial" w:hAnsiTheme="majorHAnsi"/>
          <w:b/>
        </w:rPr>
        <w:t xml:space="preserve">b) </w:t>
      </w:r>
      <w:r>
        <w:rPr>
          <w:rFonts w:asciiTheme="majorHAnsi" w:eastAsia="Arial" w:hAnsiTheme="majorHAnsi"/>
        </w:rPr>
        <w:t>assumir a responsabilidade pelo pagamento de todos os impostos, taxas e quaisquer ônus de origem federal, estadual e municipal, bem como, quaisquer encargos judiciais ou extrajudiciais, sejam trabalhistas, previdenciários, fiscais e comerciais resultantes da execução do contrato que lhes sejam imputáveis, inclusive com relação a terceiros, em decorrência do fornecimento;</w:t>
      </w:r>
    </w:p>
    <w:p>
      <w:pPr>
        <w:ind w:left="708"/>
        <w:jc w:val="both"/>
        <w:rPr>
          <w:rFonts w:asciiTheme="majorHAnsi" w:eastAsia="Arial" w:hAnsiTheme="majorHAnsi"/>
        </w:rPr>
      </w:pPr>
      <w:r>
        <w:rPr>
          <w:rFonts w:asciiTheme="majorHAnsi" w:eastAsia="Arial" w:hAnsiTheme="majorHAnsi"/>
          <w:b/>
        </w:rPr>
        <w:t>c)</w:t>
      </w:r>
      <w:r>
        <w:rPr>
          <w:rFonts w:asciiTheme="majorHAnsi" w:eastAsia="Arial" w:hAnsiTheme="majorHAnsi"/>
        </w:rPr>
        <w:t xml:space="preserve"> a reparar, corrigir, remover ou substituir, às suas expensas, no total ou em parte, os produtos em que se verificarem vícios, defeitos ou incorreções;</w:t>
      </w:r>
    </w:p>
    <w:p>
      <w:pPr>
        <w:ind w:left="708"/>
        <w:jc w:val="both"/>
        <w:rPr>
          <w:rFonts w:asciiTheme="majorHAnsi" w:eastAsia="Arial" w:hAnsiTheme="majorHAnsi"/>
        </w:rPr>
      </w:pPr>
      <w:r>
        <w:rPr>
          <w:rFonts w:asciiTheme="majorHAnsi" w:eastAsia="Arial" w:hAnsiTheme="majorHAnsi"/>
          <w:b/>
        </w:rPr>
        <w:t>d)</w:t>
      </w:r>
      <w:r>
        <w:rPr>
          <w:rFonts w:asciiTheme="majorHAnsi" w:eastAsia="Arial" w:hAnsiTheme="majorHAnsi"/>
        </w:rPr>
        <w:t xml:space="preserve"> responsabilizar-se pelos danos causados diretamente ao MUNICÍPIO ou a terceiros, decorrentes de sua culpa ou dolo na execução do fornecimento, não excluindo ou reduzindo essa responsabilidade a fiscalização ou o acompanhamento pelo órgão interessado;</w:t>
      </w:r>
    </w:p>
    <w:p>
      <w:pPr>
        <w:ind w:left="708"/>
        <w:jc w:val="both"/>
        <w:rPr>
          <w:rFonts w:asciiTheme="majorHAnsi" w:eastAsia="Arial" w:hAnsiTheme="majorHAnsi"/>
        </w:rPr>
      </w:pPr>
      <w:r>
        <w:rPr>
          <w:rFonts w:asciiTheme="majorHAnsi" w:eastAsia="Arial" w:hAnsiTheme="majorHAnsi"/>
          <w:b/>
        </w:rPr>
        <w:t>e)</w:t>
      </w:r>
      <w:r>
        <w:rPr>
          <w:rFonts w:asciiTheme="majorHAnsi" w:eastAsia="Arial" w:hAnsiTheme="majorHAnsi"/>
        </w:rPr>
        <w:t xml:space="preserve"> indicar preposto, aceito pela Administração, para representá-lo na execução do contrato. As decisões e providências que ultrapassarem a competência do representante do contratado deverão ser comunicadas a seus superiores em tempo hábil para a adoção das medidas convenientes;</w:t>
      </w:r>
    </w:p>
    <w:p>
      <w:pPr>
        <w:ind w:left="708"/>
        <w:jc w:val="both"/>
        <w:rPr>
          <w:rFonts w:asciiTheme="majorHAnsi" w:eastAsia="Arial" w:hAnsiTheme="majorHAnsi"/>
        </w:rPr>
      </w:pPr>
      <w:r>
        <w:rPr>
          <w:rFonts w:asciiTheme="majorHAnsi" w:eastAsia="Arial" w:hAnsiTheme="majorHAnsi"/>
          <w:b/>
        </w:rPr>
        <w:t xml:space="preserve">f) </w:t>
      </w:r>
      <w:r>
        <w:rPr>
          <w:rFonts w:asciiTheme="majorHAnsi" w:eastAsia="Arial" w:hAnsiTheme="majorHAnsi"/>
        </w:rPr>
        <w:t>aceitar, nas mesmas condições, os acréscimos ou supressões que se fizerem no fornecimento, até 25% (vinte e cinco por cento) do valor inicial atualizado do contrato, na forma do art. 125 da Lei nº 14.133/2021 de 1º de abril de 2021;</w:t>
      </w:r>
    </w:p>
    <w:p>
      <w:pPr>
        <w:ind w:left="708"/>
        <w:jc w:val="both"/>
        <w:rPr>
          <w:rFonts w:asciiTheme="majorHAnsi" w:eastAsia="Arial" w:hAnsiTheme="majorHAnsi"/>
        </w:rPr>
      </w:pPr>
      <w:r>
        <w:rPr>
          <w:rFonts w:asciiTheme="majorHAnsi" w:eastAsia="Arial" w:hAnsiTheme="majorHAnsi"/>
          <w:b/>
        </w:rPr>
        <w:t>g)</w:t>
      </w:r>
      <w:r>
        <w:rPr>
          <w:rFonts w:asciiTheme="majorHAnsi" w:eastAsia="Arial" w:hAnsiTheme="majorHAnsi"/>
        </w:rPr>
        <w:t xml:space="preserve"> entregar os produtos de forma a não comprometer o funcionamento dos serviços do MUNICÍPIO;</w:t>
      </w:r>
    </w:p>
    <w:p>
      <w:pPr>
        <w:ind w:left="708"/>
        <w:jc w:val="both"/>
        <w:rPr>
          <w:rFonts w:asciiTheme="majorHAnsi" w:eastAsia="Arial" w:hAnsiTheme="majorHAnsi"/>
        </w:rPr>
      </w:pPr>
      <w:r>
        <w:rPr>
          <w:rFonts w:asciiTheme="majorHAnsi" w:eastAsia="Arial" w:hAnsiTheme="majorHAnsi"/>
          <w:b/>
        </w:rPr>
        <w:t>h)</w:t>
      </w:r>
      <w:r>
        <w:rPr>
          <w:rFonts w:asciiTheme="majorHAnsi" w:eastAsia="Arial" w:hAnsiTheme="majorHAnsi"/>
        </w:rPr>
        <w:t xml:space="preserve"> comunicar antecipadamente a data e horário da entrega, não sendo aceitos os produtos que estiverem em desacordo com as especificações constantes deste instrumento, nem </w:t>
      </w:r>
      <w:r>
        <w:rPr>
          <w:rFonts w:asciiTheme="majorHAnsi" w:eastAsia="Arial" w:hAnsiTheme="majorHAnsi"/>
        </w:rPr>
        <w:lastRenderedPageBreak/>
        <w:t>quaisquer pleitos de faturamentos extraordinários sob o pretexto de perfeito funcionamento e conclusão do objeto contratado.</w:t>
      </w:r>
    </w:p>
    <w:p>
      <w:pPr>
        <w:ind w:left="708"/>
        <w:jc w:val="both"/>
        <w:rPr>
          <w:rFonts w:asciiTheme="majorHAnsi" w:eastAsia="Arial" w:hAnsiTheme="majorHAnsi"/>
        </w:rPr>
      </w:pPr>
      <w:r>
        <w:rPr>
          <w:rFonts w:asciiTheme="majorHAnsi" w:eastAsia="Arial" w:hAnsiTheme="majorHAnsi"/>
          <w:b/>
        </w:rPr>
        <w:t>i)</w:t>
      </w:r>
      <w:r>
        <w:rPr>
          <w:rFonts w:asciiTheme="majorHAnsi" w:eastAsia="Arial" w:hAnsiTheme="majorHAnsi"/>
        </w:rPr>
        <w:t xml:space="preserve"> prestar os esclarecimentos que forem solicitados pelo MUNICÍPIO, cujas reclamações se obriga a atender prontamente, bem como dar ciência ao MUNICÍPIO, imediatamente e por escrito, de qualquer anormalidade que verificar quando da execução do contrato;</w:t>
      </w:r>
    </w:p>
    <w:p>
      <w:pPr>
        <w:ind w:left="708"/>
        <w:jc w:val="both"/>
        <w:rPr>
          <w:rFonts w:asciiTheme="majorHAnsi" w:eastAsia="Arial" w:hAnsiTheme="majorHAnsi"/>
        </w:rPr>
      </w:pPr>
      <w:r>
        <w:rPr>
          <w:rFonts w:asciiTheme="majorHAnsi" w:eastAsia="Arial" w:hAnsiTheme="majorHAnsi"/>
          <w:b/>
        </w:rPr>
        <w:t>j)</w:t>
      </w:r>
      <w:r>
        <w:rPr>
          <w:rFonts w:asciiTheme="majorHAnsi" w:eastAsia="Arial" w:hAnsiTheme="majorHAnsi"/>
        </w:rPr>
        <w:t xml:space="preserve"> dispor-se a toda e qualquer fiscalização do MUNICÍPIO, no tocante ao fornecimento dos produtos, assim como ao cumprimento das obrigações previstas;</w:t>
      </w:r>
    </w:p>
    <w:p>
      <w:pPr>
        <w:ind w:left="708"/>
        <w:jc w:val="both"/>
        <w:rPr>
          <w:rFonts w:asciiTheme="majorHAnsi" w:eastAsia="Arial" w:hAnsiTheme="majorHAnsi"/>
        </w:rPr>
      </w:pPr>
      <w:r>
        <w:rPr>
          <w:rFonts w:asciiTheme="majorHAnsi" w:eastAsia="Arial" w:hAnsiTheme="majorHAnsi"/>
          <w:b/>
        </w:rPr>
        <w:t>k)</w:t>
      </w:r>
      <w:r>
        <w:rPr>
          <w:rFonts w:asciiTheme="majorHAnsi" w:eastAsia="Arial" w:hAnsiTheme="majorHAnsi"/>
        </w:rPr>
        <w:t xml:space="preserve"> prover todos os meios necessários à garantia da plena operacionalidade do fornecimento, inclusive considerados os casos de greve ou paralisação de qualquer natureza;</w:t>
      </w:r>
    </w:p>
    <w:p>
      <w:pPr>
        <w:ind w:left="708"/>
        <w:jc w:val="both"/>
        <w:rPr>
          <w:rFonts w:asciiTheme="majorHAnsi" w:eastAsia="Arial" w:hAnsiTheme="majorHAnsi"/>
        </w:rPr>
      </w:pPr>
      <w:r>
        <w:rPr>
          <w:rFonts w:asciiTheme="majorHAnsi" w:eastAsia="Arial" w:hAnsiTheme="majorHAnsi"/>
          <w:b/>
        </w:rPr>
        <w:t>l)</w:t>
      </w:r>
      <w:r>
        <w:rPr>
          <w:rFonts w:asciiTheme="majorHAnsi" w:eastAsia="Arial" w:hAnsiTheme="majorHAnsi"/>
        </w:rPr>
        <w:t xml:space="preserve"> comunicar imediatamente ao MUNICÍPIO qualquer alteração ocorrida no endereço, conta bancária e outros considerados necessários para recebimento de correspondência;</w:t>
      </w:r>
    </w:p>
    <w:p>
      <w:pPr>
        <w:ind w:left="708"/>
        <w:jc w:val="both"/>
        <w:rPr>
          <w:rFonts w:asciiTheme="majorHAnsi" w:eastAsia="Arial" w:hAnsiTheme="majorHAnsi"/>
        </w:rPr>
      </w:pPr>
      <w:r>
        <w:rPr>
          <w:rFonts w:asciiTheme="majorHAnsi" w:eastAsia="Arial" w:hAnsiTheme="majorHAnsi"/>
          <w:b/>
        </w:rPr>
        <w:t>m)</w:t>
      </w:r>
      <w:r>
        <w:rPr>
          <w:rFonts w:asciiTheme="majorHAnsi" w:eastAsia="Arial" w:hAnsiTheme="majorHAnsi"/>
        </w:rPr>
        <w:t xml:space="preserve"> possibilitar ao MUNICÍPIO efetuar vistoria nas suas instalações, a fim de verificar as condições para atendimento do objeto contratual;</w:t>
      </w:r>
    </w:p>
    <w:p>
      <w:pPr>
        <w:ind w:left="708"/>
        <w:jc w:val="both"/>
        <w:rPr>
          <w:rFonts w:asciiTheme="majorHAnsi" w:eastAsia="Arial" w:hAnsiTheme="majorHAnsi"/>
        </w:rPr>
      </w:pPr>
      <w:r>
        <w:rPr>
          <w:rFonts w:asciiTheme="majorHAnsi" w:eastAsia="Arial" w:hAnsiTheme="majorHAnsi"/>
          <w:b/>
        </w:rPr>
        <w:t>n)</w:t>
      </w:r>
      <w:r>
        <w:rPr>
          <w:rFonts w:asciiTheme="majorHAnsi" w:eastAsia="Arial" w:hAnsiTheme="majorHAnsi"/>
        </w:rPr>
        <w:t xml:space="preserve"> manter, sob as penas da lei, o mais completo e absoluto sigilo sobre quaisquer dados, informações, documentos, especificações técnicas e comerciais dos materiais do MUNICÍPIO, de que venha a tomar conhecimento ou ter acesso, ou que venham a ser confiados, sejam relacionados ou não com o fornecimento do objeto deste contrato;</w:t>
      </w:r>
    </w:p>
    <w:p>
      <w:pPr>
        <w:ind w:left="708"/>
        <w:jc w:val="both"/>
        <w:rPr>
          <w:rFonts w:asciiTheme="majorHAnsi" w:eastAsia="Arial" w:hAnsiTheme="majorHAnsi"/>
        </w:rPr>
      </w:pPr>
      <w:r>
        <w:rPr>
          <w:rFonts w:asciiTheme="majorHAnsi" w:eastAsia="Arial" w:hAnsiTheme="majorHAnsi"/>
          <w:b/>
        </w:rPr>
        <w:t>o)</w:t>
      </w:r>
      <w:r>
        <w:rPr>
          <w:rFonts w:asciiTheme="majorHAnsi" w:eastAsia="Arial" w:hAnsiTheme="majorHAnsi"/>
        </w:rPr>
        <w:t xml:space="preserve"> manter seus empregados, quando nas dependências do MUNICÍPIO, devidamente identificados com crachá subscrito pela CONTRATADA, no qual constará, no mínimo, sua razão social, nome completo do empregado e fotografia 3x4;</w:t>
      </w:r>
    </w:p>
    <w:p>
      <w:pPr>
        <w:ind w:left="708"/>
        <w:jc w:val="both"/>
        <w:rPr>
          <w:rFonts w:asciiTheme="majorHAnsi" w:eastAsia="Arial" w:hAnsiTheme="majorHAnsi"/>
        </w:rPr>
      </w:pPr>
      <w:r>
        <w:rPr>
          <w:rFonts w:asciiTheme="majorHAnsi" w:eastAsia="Arial" w:hAnsiTheme="majorHAnsi"/>
          <w:b/>
        </w:rPr>
        <w:t>p)</w:t>
      </w:r>
      <w:r>
        <w:rPr>
          <w:rFonts w:asciiTheme="majorHAnsi" w:eastAsia="Arial" w:hAnsiTheme="majorHAnsi"/>
        </w:rPr>
        <w:t xml:space="preserve"> Arcar com as despesas da entrega do produto no local indicado na autorização de fornecimento.</w:t>
      </w:r>
    </w:p>
    <w:p>
      <w:pPr>
        <w:ind w:firstLine="708"/>
        <w:jc w:val="both"/>
        <w:rPr>
          <w:rFonts w:asciiTheme="majorHAnsi" w:eastAsia="Arial" w:hAnsiTheme="majorHAnsi"/>
        </w:rPr>
      </w:pPr>
      <w:r>
        <w:rPr>
          <w:rFonts w:asciiTheme="majorHAnsi" w:eastAsia="Arial" w:hAnsiTheme="majorHAnsi"/>
          <w:b/>
        </w:rPr>
        <w:t>6.2.2.</w:t>
      </w:r>
      <w:r>
        <w:rPr>
          <w:rFonts w:asciiTheme="majorHAnsi" w:eastAsia="Arial" w:hAnsiTheme="majorHAnsi"/>
        </w:rPr>
        <w:t xml:space="preserve"> No caso de constatação da inadequação dos produtos fornecidos às normas e exigências especificadas no Termo de Referência, no Edital ou na Proposta do Contratado, o Contratante os recusará, devendo no prazo máximo de 24 (vinte e quatro) horas ser adequados às supracitadas condições;</w:t>
      </w:r>
    </w:p>
    <w:p>
      <w:pPr>
        <w:jc w:val="both"/>
        <w:rPr>
          <w:rFonts w:asciiTheme="majorHAnsi" w:eastAsia="Arial" w:hAnsiTheme="majorHAnsi"/>
        </w:rPr>
      </w:pPr>
      <w:r>
        <w:rPr>
          <w:rFonts w:asciiTheme="majorHAnsi" w:eastAsia="Arial" w:hAnsiTheme="majorHAnsi"/>
          <w:b/>
        </w:rPr>
        <w:t>6.3</w:t>
      </w:r>
      <w:r>
        <w:rPr>
          <w:rFonts w:asciiTheme="majorHAnsi" w:eastAsia="Arial" w:hAnsiTheme="majorHAnsi"/>
        </w:rPr>
        <w:t>. O CONTRATANTE obriga-se a:</w:t>
      </w:r>
    </w:p>
    <w:p>
      <w:pPr>
        <w:jc w:val="both"/>
        <w:rPr>
          <w:rFonts w:asciiTheme="majorHAnsi" w:eastAsia="Arial" w:hAnsiTheme="majorHAnsi"/>
        </w:rPr>
      </w:pPr>
      <w:r>
        <w:rPr>
          <w:rFonts w:asciiTheme="majorHAnsi" w:eastAsia="Arial" w:hAnsiTheme="majorHAnsi"/>
          <w:b/>
        </w:rPr>
        <w:t xml:space="preserve">6.3.1. </w:t>
      </w:r>
      <w:r>
        <w:rPr>
          <w:rFonts w:asciiTheme="majorHAnsi" w:eastAsia="Arial" w:hAnsiTheme="majorHAnsi"/>
        </w:rPr>
        <w:t>assegurar o livre acesso do CONTRATADO e de seus prepostos, devidamente identificados, a todos os locais onde se fizer necessário o fornecimento dos bens, prestando-lhe todas as informações e esclarecimentos que, eventualmente, forem solicitados;</w:t>
      </w:r>
    </w:p>
    <w:p>
      <w:pPr>
        <w:jc w:val="both"/>
        <w:rPr>
          <w:rFonts w:asciiTheme="majorHAnsi" w:eastAsia="Arial" w:hAnsiTheme="majorHAnsi"/>
        </w:rPr>
      </w:pPr>
      <w:r>
        <w:rPr>
          <w:rFonts w:asciiTheme="majorHAnsi" w:eastAsia="Arial" w:hAnsiTheme="majorHAnsi"/>
          <w:b/>
        </w:rPr>
        <w:t xml:space="preserve">6.3.2. </w:t>
      </w:r>
      <w:r>
        <w:rPr>
          <w:rFonts w:asciiTheme="majorHAnsi" w:eastAsia="Arial" w:hAnsiTheme="majorHAnsi"/>
        </w:rPr>
        <w:t>efetuar o pagamento ao CONTRATADO na forma prevista neste instrumento.</w:t>
      </w:r>
    </w:p>
    <w:p>
      <w:pPr>
        <w:jc w:val="both"/>
        <w:rPr>
          <w:rFonts w:asciiTheme="majorHAnsi" w:eastAsia="Arial" w:hAnsiTheme="majorHAnsi"/>
          <w:b/>
        </w:rPr>
      </w:pPr>
    </w:p>
    <w:p>
      <w:pPr>
        <w:numPr>
          <w:ilvl w:val="1"/>
          <w:numId w:val="27"/>
        </w:numPr>
        <w:pBdr>
          <w:top w:val="nil"/>
          <w:left w:val="nil"/>
          <w:bottom w:val="nil"/>
          <w:right w:val="nil"/>
          <w:between w:val="nil"/>
        </w:pBdr>
        <w:tabs>
          <w:tab w:val="left" w:pos="426"/>
        </w:tabs>
        <w:rPr>
          <w:rFonts w:asciiTheme="majorHAnsi" w:eastAsia="Arial" w:hAnsiTheme="majorHAnsi"/>
          <w:b/>
          <w:color w:val="000000"/>
        </w:rPr>
      </w:pPr>
      <w:r>
        <w:rPr>
          <w:rFonts w:asciiTheme="majorHAnsi" w:eastAsia="Arial" w:hAnsiTheme="majorHAnsi"/>
          <w:b/>
          <w:color w:val="000000"/>
        </w:rPr>
        <w:t>LOCAL DE ENTREGA DO OBJETO</w:t>
      </w:r>
    </w:p>
    <w:p>
      <w:pPr>
        <w:pBdr>
          <w:top w:val="nil"/>
          <w:left w:val="nil"/>
          <w:bottom w:val="nil"/>
          <w:right w:val="nil"/>
          <w:between w:val="nil"/>
        </w:pBdr>
        <w:tabs>
          <w:tab w:val="left" w:pos="284"/>
        </w:tabs>
        <w:jc w:val="both"/>
        <w:rPr>
          <w:rFonts w:asciiTheme="majorHAnsi" w:eastAsia="Arial" w:hAnsiTheme="majorHAnsi"/>
          <w:color w:val="000000"/>
        </w:rPr>
      </w:pPr>
      <w:r>
        <w:rPr>
          <w:rFonts w:asciiTheme="majorHAnsi" w:eastAsia="Arial" w:hAnsiTheme="majorHAnsi"/>
          <w:color w:val="000000"/>
        </w:rPr>
        <w:t>6.4.1. Os produtos deverão ser entregues nos locais designados na ordem de compra emitida pelo Setor competente, no âmbito do município de Miraíma/CE.</w:t>
      </w:r>
    </w:p>
    <w:p>
      <w:pPr>
        <w:pBdr>
          <w:top w:val="nil"/>
          <w:left w:val="nil"/>
          <w:bottom w:val="nil"/>
          <w:right w:val="nil"/>
          <w:between w:val="nil"/>
        </w:pBdr>
        <w:tabs>
          <w:tab w:val="left" w:pos="284"/>
        </w:tabs>
        <w:jc w:val="both"/>
        <w:rPr>
          <w:rFonts w:asciiTheme="majorHAnsi" w:eastAsia="Arial" w:hAnsiTheme="majorHAnsi"/>
          <w:color w:val="000000"/>
        </w:rPr>
      </w:pPr>
    </w:p>
    <w:p>
      <w:pPr>
        <w:numPr>
          <w:ilvl w:val="1"/>
          <w:numId w:val="27"/>
        </w:numPr>
        <w:pBdr>
          <w:top w:val="nil"/>
          <w:left w:val="nil"/>
          <w:bottom w:val="nil"/>
          <w:right w:val="nil"/>
          <w:between w:val="nil"/>
        </w:pBdr>
        <w:tabs>
          <w:tab w:val="left" w:pos="284"/>
          <w:tab w:val="left" w:pos="426"/>
        </w:tabs>
        <w:rPr>
          <w:rFonts w:asciiTheme="majorHAnsi" w:eastAsia="Arial" w:hAnsiTheme="majorHAnsi"/>
          <w:b/>
          <w:color w:val="000000"/>
        </w:rPr>
      </w:pPr>
      <w:r>
        <w:rPr>
          <w:rFonts w:asciiTheme="majorHAnsi" w:eastAsia="Arial" w:hAnsiTheme="majorHAnsi"/>
          <w:b/>
          <w:color w:val="000000"/>
        </w:rPr>
        <w:t>PRAZO PARA ENTREGA DOS PRODUTOS</w:t>
      </w:r>
    </w:p>
    <w:p>
      <w:pPr>
        <w:tabs>
          <w:tab w:val="left" w:pos="284"/>
          <w:tab w:val="left" w:pos="2525"/>
          <w:tab w:val="center" w:pos="4873"/>
        </w:tabs>
        <w:jc w:val="both"/>
        <w:rPr>
          <w:rFonts w:asciiTheme="majorHAnsi" w:eastAsia="Arial" w:hAnsiTheme="majorHAnsi"/>
        </w:rPr>
      </w:pPr>
      <w:r>
        <w:rPr>
          <w:rFonts w:asciiTheme="majorHAnsi" w:eastAsia="Arial" w:hAnsiTheme="majorHAnsi"/>
        </w:rPr>
        <w:t xml:space="preserve">6.5.1. Os produtos deverão ser entregues em até </w:t>
      </w:r>
      <w:r>
        <w:rPr>
          <w:rFonts w:asciiTheme="majorHAnsi" w:eastAsia="Arial" w:hAnsiTheme="majorHAnsi"/>
          <w:b/>
        </w:rPr>
        <w:t xml:space="preserve">30 (TRINTA) DIAS, </w:t>
      </w:r>
      <w:r>
        <w:rPr>
          <w:rFonts w:asciiTheme="majorHAnsi" w:eastAsia="Arial" w:hAnsiTheme="majorHAnsi"/>
        </w:rPr>
        <w:t>a contar da emissão da ORDEM DE COMPRA, que será enviada à contratada através de e-mail ou outro meio que comprove o seu recebimento.</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SÉTIMA - DAS SANÇÕES</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7.1.</w:t>
      </w:r>
      <w:r>
        <w:rPr>
          <w:rFonts w:asciiTheme="majorHAnsi" w:eastAsia="Arial" w:hAnsiTheme="majorHAnsi"/>
        </w:rPr>
        <w:t xml:space="preserve"> Comete infração administrativa, a Contratada que:</w:t>
      </w:r>
    </w:p>
    <w:p>
      <w:pPr>
        <w:jc w:val="both"/>
        <w:rPr>
          <w:rFonts w:asciiTheme="majorHAnsi" w:eastAsia="Arial" w:hAnsiTheme="majorHAnsi"/>
        </w:rPr>
      </w:pPr>
      <w:r>
        <w:rPr>
          <w:rFonts w:asciiTheme="majorHAnsi" w:eastAsia="Arial" w:hAnsiTheme="majorHAnsi"/>
        </w:rPr>
        <w:t>a) der causa à inexecução parcial do contrato;</w:t>
      </w:r>
    </w:p>
    <w:p>
      <w:pPr>
        <w:jc w:val="both"/>
        <w:rPr>
          <w:rFonts w:asciiTheme="majorHAnsi" w:eastAsia="Arial" w:hAnsiTheme="majorHAnsi"/>
        </w:rPr>
      </w:pPr>
      <w:r>
        <w:rPr>
          <w:rFonts w:asciiTheme="majorHAnsi" w:eastAsia="Arial" w:hAnsiTheme="majorHAnsi"/>
        </w:rPr>
        <w:t>b) der causa à inexecução parcial do contrato que cause grave dano à Administração ou ao funcionamento dos serviços públicos ou ao interesse coletivo;</w:t>
      </w:r>
    </w:p>
    <w:p>
      <w:pPr>
        <w:jc w:val="both"/>
        <w:rPr>
          <w:rFonts w:asciiTheme="majorHAnsi" w:eastAsia="Arial" w:hAnsiTheme="majorHAnsi"/>
        </w:rPr>
      </w:pPr>
      <w:r>
        <w:rPr>
          <w:rFonts w:asciiTheme="majorHAnsi" w:eastAsia="Arial" w:hAnsiTheme="majorHAnsi"/>
        </w:rPr>
        <w:t>c) der causa à inexecução total do contrato;</w:t>
      </w:r>
    </w:p>
    <w:p>
      <w:pPr>
        <w:jc w:val="both"/>
        <w:rPr>
          <w:rFonts w:asciiTheme="majorHAnsi" w:eastAsia="Arial" w:hAnsiTheme="majorHAnsi"/>
        </w:rPr>
      </w:pPr>
      <w:r>
        <w:rPr>
          <w:rFonts w:asciiTheme="majorHAnsi" w:eastAsia="Arial" w:hAnsiTheme="majorHAnsi"/>
        </w:rPr>
        <w:lastRenderedPageBreak/>
        <w:t>d) deixar de entregar a documentação exigida para o certame;</w:t>
      </w:r>
    </w:p>
    <w:p>
      <w:pPr>
        <w:jc w:val="both"/>
        <w:rPr>
          <w:rFonts w:asciiTheme="majorHAnsi" w:eastAsia="Arial" w:hAnsiTheme="majorHAnsi"/>
        </w:rPr>
      </w:pPr>
      <w:r>
        <w:rPr>
          <w:rFonts w:asciiTheme="majorHAnsi" w:eastAsia="Arial" w:hAnsiTheme="majorHAnsi"/>
        </w:rPr>
        <w:t>e) não manter a proposta, salvo em decorrência de fato superveniente devidamente justificado;</w:t>
      </w:r>
    </w:p>
    <w:p>
      <w:pPr>
        <w:jc w:val="both"/>
        <w:rPr>
          <w:rFonts w:asciiTheme="majorHAnsi" w:eastAsia="Arial" w:hAnsiTheme="majorHAnsi"/>
        </w:rPr>
      </w:pPr>
      <w:r>
        <w:rPr>
          <w:rFonts w:asciiTheme="majorHAnsi" w:eastAsia="Arial" w:hAnsiTheme="majorHAnsi"/>
        </w:rPr>
        <w:t>f) não celebrar o contrato ou não entregar a documentação exigida para a contratação, quando convocado dentro do prazo de validade de sua proposta;</w:t>
      </w:r>
    </w:p>
    <w:p>
      <w:pPr>
        <w:jc w:val="both"/>
        <w:rPr>
          <w:rFonts w:asciiTheme="majorHAnsi" w:eastAsia="Arial" w:hAnsiTheme="majorHAnsi"/>
        </w:rPr>
      </w:pPr>
      <w:r>
        <w:rPr>
          <w:rFonts w:asciiTheme="majorHAnsi" w:eastAsia="Arial" w:hAnsiTheme="majorHAnsi"/>
        </w:rPr>
        <w:t>g) ensejar o retardamento da execução ou da entrega do objeto da contratação sem motivo justificado;</w:t>
      </w:r>
    </w:p>
    <w:p>
      <w:pPr>
        <w:jc w:val="both"/>
        <w:rPr>
          <w:rFonts w:asciiTheme="majorHAnsi" w:eastAsia="Arial" w:hAnsiTheme="majorHAnsi"/>
        </w:rPr>
      </w:pPr>
      <w:r>
        <w:rPr>
          <w:rFonts w:asciiTheme="majorHAnsi" w:eastAsia="Arial" w:hAnsiTheme="majorHAnsi"/>
        </w:rPr>
        <w:t>h) apresentar declaração ou documentação falsa exigida para o certame ou prestar declaração falsa durante a dispensa eletrônica ou execução do contrato;</w:t>
      </w:r>
    </w:p>
    <w:p>
      <w:pPr>
        <w:jc w:val="both"/>
        <w:rPr>
          <w:rFonts w:asciiTheme="majorHAnsi" w:eastAsia="Arial" w:hAnsiTheme="majorHAnsi"/>
        </w:rPr>
      </w:pPr>
      <w:r>
        <w:rPr>
          <w:rFonts w:asciiTheme="majorHAnsi" w:eastAsia="Arial" w:hAnsiTheme="majorHAnsi"/>
        </w:rPr>
        <w:t>i) fraudar a contratação ou praticar ato fraudulento na execução do contrato;</w:t>
      </w:r>
    </w:p>
    <w:p>
      <w:pPr>
        <w:jc w:val="both"/>
        <w:rPr>
          <w:rFonts w:asciiTheme="majorHAnsi" w:eastAsia="Arial" w:hAnsiTheme="majorHAnsi"/>
        </w:rPr>
      </w:pPr>
      <w:r>
        <w:rPr>
          <w:rFonts w:asciiTheme="majorHAnsi" w:eastAsia="Arial" w:hAnsiTheme="majorHAnsi"/>
        </w:rPr>
        <w:t>j) comportar-se de modo inidôneo ou cometer fraude de qualquer natureza;</w:t>
      </w:r>
    </w:p>
    <w:p>
      <w:pPr>
        <w:jc w:val="both"/>
        <w:rPr>
          <w:rFonts w:asciiTheme="majorHAnsi" w:eastAsia="Arial" w:hAnsiTheme="majorHAnsi"/>
        </w:rPr>
      </w:pPr>
      <w:r>
        <w:rPr>
          <w:rFonts w:asciiTheme="majorHAnsi" w:eastAsia="Arial" w:hAnsiTheme="majorHAnsi"/>
        </w:rPr>
        <w:t>k) praticar atos ilícitos com vistas a frustrar os objetivos da contratação;</w:t>
      </w:r>
    </w:p>
    <w:p>
      <w:pPr>
        <w:jc w:val="both"/>
        <w:rPr>
          <w:rFonts w:asciiTheme="majorHAnsi" w:eastAsia="Arial" w:hAnsiTheme="majorHAnsi"/>
        </w:rPr>
      </w:pPr>
      <w:r>
        <w:rPr>
          <w:rFonts w:asciiTheme="majorHAnsi" w:eastAsia="Arial" w:hAnsiTheme="majorHAnsi"/>
        </w:rPr>
        <w:t>l) praticar ato lesivo previsto no art. 5º da Lei nº 12.846, de 1º de agosto de 2013.</w:t>
      </w:r>
    </w:p>
    <w:p>
      <w:pPr>
        <w:jc w:val="both"/>
        <w:rPr>
          <w:rFonts w:asciiTheme="majorHAnsi" w:eastAsia="Arial" w:hAnsiTheme="majorHAnsi"/>
        </w:rPr>
      </w:pPr>
    </w:p>
    <w:p>
      <w:pPr>
        <w:jc w:val="both"/>
        <w:rPr>
          <w:rFonts w:asciiTheme="majorHAnsi" w:eastAsia="Arial" w:hAnsiTheme="majorHAnsi"/>
        </w:rPr>
      </w:pPr>
      <w:r>
        <w:rPr>
          <w:rFonts w:asciiTheme="majorHAnsi" w:eastAsia="Arial" w:hAnsiTheme="majorHAnsi"/>
          <w:b/>
        </w:rPr>
        <w:t>7.2.</w:t>
      </w:r>
      <w:r>
        <w:rPr>
          <w:rFonts w:asciiTheme="majorHAnsi" w:eastAsia="Arial" w:hAnsiTheme="majorHAnsi"/>
        </w:rPr>
        <w:t xml:space="preserve"> Serão aplicadas à responsável pelas infrações administrativas acima descritas as seguintes sanções:</w:t>
      </w:r>
    </w:p>
    <w:p>
      <w:pPr>
        <w:jc w:val="both"/>
        <w:rPr>
          <w:rFonts w:asciiTheme="majorHAnsi" w:eastAsia="Arial" w:hAnsiTheme="majorHAnsi"/>
        </w:rPr>
      </w:pPr>
      <w:r>
        <w:rPr>
          <w:rFonts w:asciiTheme="majorHAnsi" w:eastAsia="Arial" w:hAnsiTheme="majorHAnsi"/>
        </w:rPr>
        <w:t>a) Advertência, quando a Contratada der causa à inexecução parcial do contrato, sempre que não se justificar a imposição de penalidade mais grave);</w:t>
      </w:r>
    </w:p>
    <w:p>
      <w:pPr>
        <w:jc w:val="both"/>
        <w:rPr>
          <w:rFonts w:asciiTheme="majorHAnsi" w:eastAsia="Arial" w:hAnsiTheme="majorHAnsi"/>
        </w:rPr>
      </w:pPr>
      <w:r>
        <w:rPr>
          <w:rFonts w:asciiTheme="majorHAnsi" w:eastAsia="Arial" w:hAnsiTheme="majorHAnsi"/>
        </w:rPr>
        <w:t xml:space="preserve">b) Impedimento de licitar e contratar, quando praticadas as condutas descritas nas alíneas b, c, d, e, f e g do subitem acima deste contrato, sempre que não se justificar a imposição de penalidade mais grave </w:t>
      </w:r>
    </w:p>
    <w:p>
      <w:pPr>
        <w:jc w:val="both"/>
        <w:rPr>
          <w:rFonts w:asciiTheme="majorHAnsi" w:eastAsia="Arial" w:hAnsiTheme="majorHAnsi"/>
        </w:rPr>
      </w:pPr>
      <w:r>
        <w:rPr>
          <w:rFonts w:asciiTheme="majorHAnsi" w:eastAsia="Arial" w:hAnsiTheme="majorHAnsi"/>
        </w:rPr>
        <w:t>c) Declaração de inidoneidade para licitar e contratar, quando praticadas as condutas descritas nas alíneas h, i, j, k e l do subitem acima deste contrato, bem como nas alíneas b, c, d, e, f e g, que justifiquem a imposição de penalidade mais grave</w:t>
      </w:r>
    </w:p>
    <w:p>
      <w:pPr>
        <w:jc w:val="both"/>
        <w:rPr>
          <w:rFonts w:asciiTheme="majorHAnsi" w:eastAsia="Arial" w:hAnsiTheme="majorHAnsi"/>
        </w:rPr>
      </w:pPr>
      <w:r>
        <w:rPr>
          <w:rFonts w:asciiTheme="majorHAnsi" w:eastAsia="Arial" w:hAnsiTheme="majorHAnsi"/>
        </w:rPr>
        <w:t>d) Multa:</w:t>
      </w:r>
    </w:p>
    <w:p>
      <w:pPr>
        <w:jc w:val="both"/>
        <w:rPr>
          <w:rFonts w:asciiTheme="majorHAnsi" w:eastAsia="Arial" w:hAnsiTheme="majorHAnsi"/>
        </w:rPr>
      </w:pPr>
      <w:r>
        <w:rPr>
          <w:rFonts w:asciiTheme="majorHAnsi" w:eastAsia="Arial" w:hAnsiTheme="majorHAnsi"/>
        </w:rPr>
        <w:t>(1) moratória de 0,5% (cinco décimos por cento) por dia de atraso injustificado sobre o valor da parcela inadimplida, até o limite de 30% (trinta por cento) do contrato ou instrumento equivalente;</w:t>
      </w:r>
    </w:p>
    <w:p>
      <w:pPr>
        <w:jc w:val="both"/>
        <w:rPr>
          <w:rFonts w:asciiTheme="majorHAnsi" w:eastAsia="Arial" w:hAnsiTheme="majorHAnsi"/>
        </w:rPr>
      </w:pPr>
      <w:r>
        <w:rPr>
          <w:rFonts w:asciiTheme="majorHAnsi" w:eastAsia="Arial" w:hAnsiTheme="majorHAnsi"/>
        </w:rPr>
        <w:t>(2) compensatória de 5% (cinco por cento) sobre o valor da parcela inadimplida à Contratada que entregar o objeto contratual em desacordo com as especificações, condições e qualidade contratadas ou com irregularidades ou defeitos ocultos que o tornem impróprio para o fim a que se destina;</w:t>
      </w:r>
    </w:p>
    <w:p>
      <w:pPr>
        <w:jc w:val="both"/>
        <w:rPr>
          <w:rFonts w:asciiTheme="majorHAnsi" w:eastAsia="Arial" w:hAnsiTheme="majorHAnsi"/>
        </w:rPr>
      </w:pPr>
      <w:r>
        <w:rPr>
          <w:rFonts w:asciiTheme="majorHAnsi" w:eastAsia="Arial" w:hAnsiTheme="majorHAnsi"/>
        </w:rPr>
        <w:t>(3) compensatória de até 3% (três por cento) sobre o valor de referência ao licitante ou contratada que retardar o procedimento de contratação, descumprir preceito normativo ou obrigações assumidas, tais como:</w:t>
      </w:r>
    </w:p>
    <w:p>
      <w:pPr>
        <w:jc w:val="both"/>
        <w:rPr>
          <w:rFonts w:asciiTheme="majorHAnsi" w:eastAsia="Arial" w:hAnsiTheme="majorHAnsi"/>
        </w:rPr>
      </w:pPr>
      <w:r>
        <w:rPr>
          <w:rFonts w:asciiTheme="majorHAnsi" w:eastAsia="Arial" w:hAnsiTheme="majorHAnsi"/>
        </w:rPr>
        <w:t>I – propor recursos manifestamente protelatórios em sede de contratação direta;</w:t>
      </w:r>
    </w:p>
    <w:p>
      <w:pPr>
        <w:jc w:val="both"/>
        <w:rPr>
          <w:rFonts w:asciiTheme="majorHAnsi" w:eastAsia="Arial" w:hAnsiTheme="majorHAnsi"/>
        </w:rPr>
      </w:pPr>
      <w:r>
        <w:rPr>
          <w:rFonts w:asciiTheme="majorHAnsi" w:eastAsia="Arial" w:hAnsiTheme="majorHAnsi"/>
        </w:rPr>
        <w:t>II – deixar de providenciar o cadastramento da empresa vencedora da licitação ou da contratação direta junto ao Sistema de Cadastro de Fornecedores dentro do prazo concedido, salvo por motivo justificado e aceito pela administração;</w:t>
      </w:r>
    </w:p>
    <w:p>
      <w:pPr>
        <w:jc w:val="both"/>
        <w:rPr>
          <w:rFonts w:asciiTheme="majorHAnsi" w:eastAsia="Arial" w:hAnsiTheme="majorHAnsi"/>
        </w:rPr>
      </w:pPr>
      <w:r>
        <w:rPr>
          <w:rFonts w:asciiTheme="majorHAnsi" w:eastAsia="Arial" w:hAnsiTheme="majorHAnsi"/>
        </w:rPr>
        <w:t>III – deixar de cumprir as exigências de reserva de cargos previstas em lei, bem como em outras normas específicas, para pessoa com deficiência, para reabilitado da Previdência Social e para aprendiz;</w:t>
      </w:r>
    </w:p>
    <w:p>
      <w:pPr>
        <w:jc w:val="both"/>
        <w:rPr>
          <w:rFonts w:asciiTheme="majorHAnsi" w:eastAsia="Arial" w:hAnsiTheme="majorHAnsi"/>
        </w:rPr>
      </w:pPr>
      <w:r>
        <w:rPr>
          <w:rFonts w:asciiTheme="majorHAnsi" w:eastAsia="Arial" w:hAnsiTheme="majorHAnsi"/>
        </w:rPr>
        <w:t>IV – deixar de cumprir o modelo de gestão do contrato;</w:t>
      </w:r>
    </w:p>
    <w:p>
      <w:pPr>
        <w:jc w:val="both"/>
        <w:rPr>
          <w:rFonts w:asciiTheme="majorHAnsi" w:eastAsia="Arial" w:hAnsiTheme="majorHAnsi"/>
        </w:rPr>
      </w:pPr>
      <w:r>
        <w:rPr>
          <w:rFonts w:asciiTheme="majorHAnsi" w:eastAsia="Arial" w:hAnsiTheme="majorHAnsi"/>
        </w:rPr>
        <w:t>V – deixar de complementar o valor da garantia recolhida após solicitação do Contratante;</w:t>
      </w:r>
    </w:p>
    <w:p>
      <w:pPr>
        <w:jc w:val="both"/>
        <w:rPr>
          <w:rFonts w:asciiTheme="majorHAnsi" w:eastAsia="Arial" w:hAnsiTheme="majorHAnsi"/>
        </w:rPr>
      </w:pPr>
      <w:r>
        <w:rPr>
          <w:rFonts w:asciiTheme="majorHAnsi" w:eastAsia="Arial" w:hAnsiTheme="majorHAnsi"/>
        </w:rPr>
        <w:t>VI – não devolver os valores pagos indevidamente pelo Contratante;</w:t>
      </w:r>
    </w:p>
    <w:p>
      <w:pPr>
        <w:jc w:val="both"/>
        <w:rPr>
          <w:rFonts w:asciiTheme="majorHAnsi" w:eastAsia="Arial" w:hAnsiTheme="majorHAnsi"/>
        </w:rPr>
      </w:pPr>
      <w:r>
        <w:rPr>
          <w:rFonts w:asciiTheme="majorHAnsi" w:eastAsia="Arial" w:hAnsiTheme="majorHAnsi"/>
        </w:rPr>
        <w:t>VII – não manter, durante a execução do contrato, todas as condições exigidas para a habilitação, em caso de licitação, ou para a qualificação, em caso de contratação direta, ou, ainda, quaisquer outras obrigações;</w:t>
      </w:r>
    </w:p>
    <w:p>
      <w:pPr>
        <w:jc w:val="both"/>
        <w:rPr>
          <w:rFonts w:asciiTheme="majorHAnsi" w:eastAsia="Arial" w:hAnsiTheme="majorHAnsi"/>
        </w:rPr>
      </w:pPr>
      <w:r>
        <w:rPr>
          <w:rFonts w:asciiTheme="majorHAnsi" w:eastAsia="Arial" w:hAnsiTheme="majorHAnsi"/>
        </w:rPr>
        <w:t>VIII – deixar de regularizar, no prazo definido pela administração, os documentos exigidos pela legislação para fins de liquidação e pagamento da despesa;</w:t>
      </w:r>
    </w:p>
    <w:p>
      <w:pPr>
        <w:jc w:val="both"/>
        <w:rPr>
          <w:rFonts w:asciiTheme="majorHAnsi" w:eastAsia="Arial" w:hAnsiTheme="majorHAnsi"/>
        </w:rPr>
      </w:pPr>
      <w:r>
        <w:rPr>
          <w:rFonts w:asciiTheme="majorHAnsi" w:eastAsia="Arial" w:hAnsiTheme="majorHAnsi"/>
        </w:rPr>
        <w:lastRenderedPageBreak/>
        <w:t>IX – manter funcionário sem qualificação para a execução do objeto;</w:t>
      </w:r>
    </w:p>
    <w:p>
      <w:pPr>
        <w:jc w:val="both"/>
        <w:rPr>
          <w:rFonts w:asciiTheme="majorHAnsi" w:eastAsia="Arial" w:hAnsiTheme="majorHAnsi"/>
        </w:rPr>
      </w:pPr>
      <w:r>
        <w:rPr>
          <w:rFonts w:asciiTheme="majorHAnsi" w:eastAsia="Arial" w:hAnsiTheme="majorHAnsi"/>
        </w:rPr>
        <w:t>X – utilizar as dependências do Contratante para fins diversos do objeto do contrato;</w:t>
      </w:r>
    </w:p>
    <w:p>
      <w:pPr>
        <w:jc w:val="both"/>
        <w:rPr>
          <w:rFonts w:asciiTheme="majorHAnsi" w:eastAsia="Arial" w:hAnsiTheme="majorHAnsi"/>
        </w:rPr>
      </w:pPr>
      <w:r>
        <w:rPr>
          <w:rFonts w:asciiTheme="majorHAnsi" w:eastAsia="Arial" w:hAnsiTheme="majorHAnsi"/>
        </w:rPr>
        <w:t>XI – deixar de substituir empregado cujo comportamento for incompatível com o interesse público, em especial quando solicitado pela administração;</w:t>
      </w:r>
    </w:p>
    <w:p>
      <w:pPr>
        <w:jc w:val="both"/>
        <w:rPr>
          <w:rFonts w:asciiTheme="majorHAnsi" w:eastAsia="Arial" w:hAnsiTheme="majorHAnsi"/>
        </w:rPr>
      </w:pPr>
      <w:r>
        <w:rPr>
          <w:rFonts w:asciiTheme="majorHAnsi" w:eastAsia="Arial" w:hAnsiTheme="majorHAnsi"/>
        </w:rPr>
        <w:t>XII – deixar de efetuar o pagamento de salários, vale-transporte, vale-refeição, seguros, encargos fiscais e sociais, bem como deixar de arcar com quaisquer outras despesas relacionadas à execução do contrato nas datas avençadas;</w:t>
      </w:r>
    </w:p>
    <w:p>
      <w:pPr>
        <w:jc w:val="both"/>
        <w:rPr>
          <w:rFonts w:asciiTheme="majorHAnsi" w:eastAsia="Arial" w:hAnsiTheme="majorHAnsi"/>
        </w:rPr>
      </w:pPr>
      <w:r>
        <w:rPr>
          <w:rFonts w:asciiTheme="majorHAnsi" w:eastAsia="Arial" w:hAnsiTheme="majorHAnsi"/>
        </w:rPr>
        <w:t>XIII – deixar de apresentar, quando solicitado, documentação fiscal, trabalhista e previdenciária regularizada;</w:t>
      </w:r>
    </w:p>
    <w:p>
      <w:pPr>
        <w:jc w:val="both"/>
        <w:rPr>
          <w:rFonts w:asciiTheme="majorHAnsi" w:eastAsia="Arial" w:hAnsiTheme="majorHAnsi"/>
        </w:rPr>
      </w:pPr>
      <w:r>
        <w:rPr>
          <w:rFonts w:asciiTheme="majorHAnsi" w:eastAsia="Arial" w:hAnsiTheme="majorHAnsi"/>
        </w:rPr>
        <w:t>XIV – deixar de regularizar os documentos fiscais no prazo concedido na hipótese de a Contratada enquadrar-se como Microempresa, Empresa de Pequeno Porte ou equiparados, nos termos da Lei Complementar Federal nº 123, de 14 de dezembro de 2006;</w:t>
      </w:r>
    </w:p>
    <w:p>
      <w:pPr>
        <w:jc w:val="both"/>
        <w:rPr>
          <w:rFonts w:asciiTheme="majorHAnsi" w:eastAsia="Arial" w:hAnsiTheme="majorHAnsi"/>
        </w:rPr>
      </w:pPr>
      <w:r>
        <w:rPr>
          <w:rFonts w:asciiTheme="majorHAnsi" w:eastAsia="Arial" w:hAnsiTheme="majorHAnsi"/>
        </w:rPr>
        <w:t>XV – não manter atualizado e-mail para contato, sobretudo dos prepostos, nem informar à gestão e à fiscalização do contrato, no prazo de dois dias, a alteração de endereços, sobretudo quando este ato frustrar a regular notificação de instauração de processo sancionador;</w:t>
      </w:r>
    </w:p>
    <w:p>
      <w:pPr>
        <w:jc w:val="both"/>
        <w:rPr>
          <w:rFonts w:asciiTheme="majorHAnsi" w:eastAsia="Arial" w:hAnsiTheme="majorHAnsi"/>
        </w:rPr>
      </w:pPr>
      <w:r>
        <w:rPr>
          <w:rFonts w:asciiTheme="majorHAnsi" w:eastAsia="Arial" w:hAnsiTheme="majorHAnsi"/>
        </w:rPr>
        <w:t>XVI – subcontratar o objeto ou a execução de serviços em percentual superior ao permitido no contrato, ou de forma que configure inexistência de condições reais de prestação do serviço ou fornecimento do bem.</w:t>
      </w:r>
    </w:p>
    <w:p>
      <w:pPr>
        <w:jc w:val="both"/>
        <w:rPr>
          <w:rFonts w:asciiTheme="majorHAnsi" w:eastAsia="Arial" w:hAnsiTheme="majorHAnsi"/>
        </w:rPr>
      </w:pPr>
    </w:p>
    <w:p>
      <w:pPr>
        <w:jc w:val="both"/>
        <w:rPr>
          <w:rFonts w:asciiTheme="majorHAnsi" w:eastAsia="Arial" w:hAnsiTheme="majorHAnsi"/>
        </w:rPr>
      </w:pPr>
      <w:r>
        <w:rPr>
          <w:rFonts w:asciiTheme="majorHAnsi" w:eastAsia="Arial" w:hAnsiTheme="majorHAnsi"/>
        </w:rPr>
        <w:t>Nota Explicativa: É possível inserir hipóteses de multa e percentuais específicos para o fornecimento indicado, conforme detalhamento e especificidades indicadas no ETP ou TR, inclusive com periodicidade de atraso diferente do indicado (hora, quinzena etc)</w:t>
      </w:r>
    </w:p>
    <w:p>
      <w:pPr>
        <w:jc w:val="both"/>
        <w:rPr>
          <w:rFonts w:asciiTheme="majorHAnsi" w:eastAsia="Arial" w:hAnsiTheme="majorHAnsi"/>
        </w:rPr>
      </w:pPr>
      <w:r>
        <w:rPr>
          <w:rFonts w:asciiTheme="majorHAnsi" w:eastAsia="Arial" w:hAnsiTheme="majorHAnsi"/>
        </w:rPr>
        <w:t xml:space="preserve">e) O atraso superior a 20(vinte) dias, ou a manutenção da irregularidade, autoriza a Administração a promover a rescisão do contrato por descumprimento ou cumprimento irregular de suas cláusulas, conforme dispõe o inciso I do art. 137 da Lei n. 14.133, de 2021. </w:t>
      </w:r>
    </w:p>
    <w:p>
      <w:pPr>
        <w:jc w:val="both"/>
        <w:rPr>
          <w:rFonts w:asciiTheme="majorHAnsi" w:eastAsia="Arial" w:hAnsiTheme="majorHAnsi"/>
        </w:rPr>
      </w:pPr>
      <w:r>
        <w:rPr>
          <w:rFonts w:asciiTheme="majorHAnsi" w:eastAsia="Arial" w:hAnsiTheme="majorHAnsi"/>
          <w:b/>
        </w:rPr>
        <w:t>7.3.</w:t>
      </w:r>
      <w:r>
        <w:rPr>
          <w:rFonts w:asciiTheme="majorHAnsi" w:eastAsia="Arial" w:hAnsiTheme="majorHAnsi"/>
        </w:rPr>
        <w:t xml:space="preserve"> A aplicação das sanções previstas neste contrato não exclui, em hipótese alguma, a obrigação de reparação integral do dano causado ao Contratante.</w:t>
      </w:r>
    </w:p>
    <w:p>
      <w:pPr>
        <w:jc w:val="both"/>
        <w:rPr>
          <w:rFonts w:asciiTheme="majorHAnsi" w:eastAsia="Arial" w:hAnsiTheme="majorHAnsi"/>
        </w:rPr>
      </w:pPr>
      <w:r>
        <w:rPr>
          <w:rFonts w:asciiTheme="majorHAnsi" w:eastAsia="Arial" w:hAnsiTheme="majorHAnsi"/>
          <w:b/>
        </w:rPr>
        <w:t>7.4.</w:t>
      </w:r>
      <w:r>
        <w:rPr>
          <w:rFonts w:asciiTheme="majorHAnsi" w:eastAsia="Arial" w:hAnsiTheme="majorHAnsi"/>
        </w:rPr>
        <w:t xml:space="preserve"> Todas as sanções previstas neste contrato poderão ser aplicadas cumulativamente com a multa </w:t>
      </w:r>
    </w:p>
    <w:p>
      <w:pPr>
        <w:jc w:val="both"/>
        <w:rPr>
          <w:rFonts w:asciiTheme="majorHAnsi" w:eastAsia="Arial" w:hAnsiTheme="majorHAnsi"/>
        </w:rPr>
      </w:pPr>
      <w:r>
        <w:rPr>
          <w:rFonts w:asciiTheme="majorHAnsi" w:eastAsia="Arial" w:hAnsiTheme="majorHAnsi"/>
          <w:b/>
        </w:rPr>
        <w:t>7.4.1.</w:t>
      </w:r>
      <w:r>
        <w:rPr>
          <w:rFonts w:asciiTheme="majorHAnsi" w:eastAsia="Arial" w:hAnsiTheme="majorHAnsi"/>
        </w:rPr>
        <w:t xml:space="preserve"> Se a multa aplicada e as indenizações cabíveis forem superiores ao valor do pagamento eventualmente devido pelo Contratante à Contratada, além da perda desse valor, a diferença será descontada da garantia prestada ou será cobrada judicialmente </w:t>
      </w:r>
    </w:p>
    <w:p>
      <w:pPr>
        <w:jc w:val="both"/>
        <w:rPr>
          <w:rFonts w:asciiTheme="majorHAnsi" w:eastAsia="Arial" w:hAnsiTheme="majorHAnsi"/>
        </w:rPr>
      </w:pPr>
      <w:r>
        <w:rPr>
          <w:rFonts w:asciiTheme="majorHAnsi" w:eastAsia="Arial" w:hAnsiTheme="majorHAnsi"/>
          <w:b/>
        </w:rPr>
        <w:t>7.4.2.</w:t>
      </w:r>
      <w:r>
        <w:rPr>
          <w:rFonts w:asciiTheme="majorHAnsi" w:eastAsia="Arial" w:hAnsiTheme="majorHAnsi"/>
        </w:rPr>
        <w:t xml:space="preserve"> Previamente ao encaminhamento à cobrança judicial, a multa poderá ser recolhida administrativamente no prazo máximo de 05 (cinco) dias, a contar da data do recebimento da comunicação enviada pela autoridade competente.</w:t>
      </w:r>
    </w:p>
    <w:p>
      <w:pPr>
        <w:jc w:val="both"/>
        <w:rPr>
          <w:rFonts w:asciiTheme="majorHAnsi" w:eastAsia="Arial" w:hAnsiTheme="majorHAnsi"/>
        </w:rPr>
      </w:pPr>
      <w:r>
        <w:rPr>
          <w:rFonts w:asciiTheme="majorHAnsi" w:eastAsia="Arial" w:hAnsiTheme="majorHAnsi"/>
          <w:b/>
        </w:rPr>
        <w:t>7.5.</w:t>
      </w:r>
      <w:r>
        <w:rPr>
          <w:rFonts w:asciiTheme="majorHAnsi" w:eastAsia="Arial" w:hAnsiTheme="majorHAnsi"/>
        </w:rPr>
        <w:t xml:space="preserve"> A aplicação das sanções realizar-se-á em processo administrativo que assegure o contraditório e a ampla defesa à Contratada, observando-se o procedimento previsto no caput e parágrafos do art. 158 da Lei nº 14.133, de 2021, para as penalidades de impedimento de licitar e contratar e de declaração de inidoneidade para licitar ou contratar.</w:t>
      </w:r>
    </w:p>
    <w:p>
      <w:pPr>
        <w:jc w:val="both"/>
        <w:rPr>
          <w:rFonts w:asciiTheme="majorHAnsi" w:eastAsia="Arial" w:hAnsiTheme="majorHAnsi"/>
        </w:rPr>
      </w:pPr>
      <w:r>
        <w:rPr>
          <w:rFonts w:asciiTheme="majorHAnsi" w:eastAsia="Arial" w:hAnsiTheme="majorHAnsi"/>
          <w:b/>
        </w:rPr>
        <w:t>7.6.</w:t>
      </w:r>
      <w:r>
        <w:rPr>
          <w:rFonts w:asciiTheme="majorHAnsi" w:eastAsia="Arial" w:hAnsiTheme="majorHAnsi"/>
        </w:rP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pPr>
        <w:jc w:val="both"/>
        <w:rPr>
          <w:rFonts w:asciiTheme="majorHAnsi" w:eastAsia="Arial" w:hAnsiTheme="majorHAnsi"/>
        </w:rPr>
      </w:pPr>
      <w:r>
        <w:rPr>
          <w:rFonts w:asciiTheme="majorHAnsi" w:eastAsia="Arial" w:hAnsiTheme="majorHAnsi"/>
          <w:b/>
        </w:rPr>
        <w:t>7.7.</w:t>
      </w:r>
      <w:r>
        <w:rPr>
          <w:rFonts w:asciiTheme="majorHAnsi" w:eastAsia="Arial" w:hAnsiTheme="majorHAnsi"/>
        </w:rPr>
        <w:t xml:space="preserve"> 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w:t>
      </w:r>
      <w:r>
        <w:rPr>
          <w:rFonts w:asciiTheme="majorHAnsi" w:eastAsia="Arial" w:hAnsiTheme="majorHAnsi"/>
        </w:rPr>
        <w:lastRenderedPageBreak/>
        <w:t xml:space="preserve">ou controle, de fato ou de direito, com a Contratada, observados, em todos os casos, o contraditório, a ampla defesa e a obrigatoriedade de análise jurídica prévia. </w:t>
      </w:r>
    </w:p>
    <w:p>
      <w:pPr>
        <w:jc w:val="both"/>
        <w:rPr>
          <w:rFonts w:asciiTheme="majorHAnsi" w:eastAsia="Arial" w:hAnsiTheme="majorHAnsi"/>
        </w:rPr>
      </w:pPr>
      <w:r>
        <w:rPr>
          <w:rFonts w:asciiTheme="majorHAnsi" w:eastAsia="Arial" w:hAnsiTheme="majorHAnsi"/>
          <w:b/>
        </w:rPr>
        <w:t>7.8.</w:t>
      </w:r>
      <w:r>
        <w:rPr>
          <w:rFonts w:asciiTheme="majorHAnsi" w:eastAsia="Arial" w:hAnsiTheme="majorHAnsi"/>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OITAVA - DA EXTINÇÃO CONTRATUAL</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8.1.</w:t>
      </w:r>
      <w:r>
        <w:rPr>
          <w:rFonts w:asciiTheme="majorHAnsi" w:eastAsia="Arial" w:hAnsiTheme="majorHAnsi"/>
        </w:rPr>
        <w:t>O contrato pode ser extinto antes de cumpridas as obrigações nele estipuladas, ou antes do prazo nele fixado, por algum dos motivos previstos no artigo 137 da Lei nº 14.111/2021, bem como amigavelmente, assegurados o contraditório e a ampla defesa.</w:t>
      </w:r>
    </w:p>
    <w:p>
      <w:pPr>
        <w:jc w:val="both"/>
        <w:rPr>
          <w:rFonts w:asciiTheme="majorHAnsi" w:eastAsia="Arial" w:hAnsiTheme="majorHAnsi"/>
        </w:rPr>
      </w:pPr>
      <w:r>
        <w:rPr>
          <w:rFonts w:asciiTheme="majorHAnsi" w:eastAsia="Arial" w:hAnsiTheme="majorHAnsi"/>
          <w:b/>
        </w:rPr>
        <w:t>8.1.1.</w:t>
      </w:r>
      <w:r>
        <w:rPr>
          <w:rFonts w:asciiTheme="majorHAnsi" w:eastAsia="Arial" w:hAnsiTheme="majorHAnsi"/>
        </w:rPr>
        <w:t xml:space="preserve"> Nesta hipótese, aplicam-se também os artigos 138 e 139 da mesma Lei.</w:t>
      </w:r>
    </w:p>
    <w:p>
      <w:pPr>
        <w:jc w:val="both"/>
        <w:rPr>
          <w:rFonts w:asciiTheme="majorHAnsi" w:eastAsia="Arial" w:hAnsiTheme="majorHAnsi"/>
        </w:rPr>
      </w:pPr>
      <w:r>
        <w:rPr>
          <w:rFonts w:asciiTheme="majorHAnsi" w:eastAsia="Arial" w:hAnsiTheme="majorHAnsi"/>
          <w:b/>
        </w:rPr>
        <w:t>8.1.2.</w:t>
      </w:r>
      <w:r>
        <w:rPr>
          <w:rFonts w:asciiTheme="majorHAnsi" w:eastAsia="Arial" w:hAnsiTheme="majorHAnsi"/>
        </w:rPr>
        <w:t xml:space="preserve"> A alteração social ou modificação da finalidade ou da estrutura da empresa não ensejará rescisão se não restringir sua capacidade de concluir o contrato.</w:t>
      </w:r>
    </w:p>
    <w:p>
      <w:pPr>
        <w:jc w:val="both"/>
        <w:rPr>
          <w:rFonts w:asciiTheme="majorHAnsi" w:eastAsia="Arial" w:hAnsiTheme="majorHAnsi"/>
        </w:rPr>
      </w:pPr>
      <w:r>
        <w:rPr>
          <w:rFonts w:asciiTheme="majorHAnsi" w:eastAsia="Arial" w:hAnsiTheme="majorHAnsi"/>
          <w:b/>
        </w:rPr>
        <w:t>8.1.2.1.</w:t>
      </w:r>
      <w:r>
        <w:rPr>
          <w:rFonts w:asciiTheme="majorHAnsi" w:eastAsia="Arial" w:hAnsiTheme="majorHAnsi"/>
        </w:rPr>
        <w:t xml:space="preserve"> Se a operação implicar mudança da pessoa jurídica contratada, deverá ser formalizado termo aditivo para alteração subjetiva.</w:t>
      </w:r>
    </w:p>
    <w:p>
      <w:pPr>
        <w:jc w:val="both"/>
        <w:rPr>
          <w:rFonts w:asciiTheme="majorHAnsi" w:eastAsia="Arial" w:hAnsiTheme="majorHAnsi"/>
        </w:rPr>
      </w:pPr>
      <w:r>
        <w:rPr>
          <w:rFonts w:asciiTheme="majorHAnsi" w:eastAsia="Arial" w:hAnsiTheme="majorHAnsi"/>
          <w:b/>
        </w:rPr>
        <w:t>8.2.</w:t>
      </w:r>
      <w:r>
        <w:rPr>
          <w:rFonts w:asciiTheme="majorHAnsi" w:eastAsia="Arial" w:hAnsiTheme="majorHAnsi"/>
        </w:rPr>
        <w:t xml:space="preserve"> O termo de rescisão, sempre que possível, será precedido:</w:t>
      </w:r>
    </w:p>
    <w:p>
      <w:pPr>
        <w:jc w:val="both"/>
        <w:rPr>
          <w:rFonts w:asciiTheme="majorHAnsi" w:eastAsia="Arial" w:hAnsiTheme="majorHAnsi"/>
        </w:rPr>
      </w:pPr>
      <w:r>
        <w:rPr>
          <w:rFonts w:asciiTheme="majorHAnsi" w:eastAsia="Arial" w:hAnsiTheme="majorHAnsi"/>
          <w:b/>
        </w:rPr>
        <w:t>8.2.1.</w:t>
      </w:r>
      <w:r>
        <w:rPr>
          <w:rFonts w:asciiTheme="majorHAnsi" w:eastAsia="Arial" w:hAnsiTheme="majorHAnsi"/>
        </w:rPr>
        <w:t xml:space="preserve"> Balanço dos eventos contratuais já cumpridos ou parcialmente cumpridos;</w:t>
      </w:r>
    </w:p>
    <w:p>
      <w:pPr>
        <w:jc w:val="both"/>
        <w:rPr>
          <w:rFonts w:asciiTheme="majorHAnsi" w:eastAsia="Arial" w:hAnsiTheme="majorHAnsi"/>
        </w:rPr>
      </w:pPr>
      <w:r>
        <w:rPr>
          <w:rFonts w:asciiTheme="majorHAnsi" w:eastAsia="Arial" w:hAnsiTheme="majorHAnsi"/>
          <w:b/>
        </w:rPr>
        <w:t>8.2.2.</w:t>
      </w:r>
      <w:r>
        <w:rPr>
          <w:rFonts w:asciiTheme="majorHAnsi" w:eastAsia="Arial" w:hAnsiTheme="majorHAnsi"/>
        </w:rPr>
        <w:t xml:space="preserve"> Relação dos pagamentos já efetuados e ainda devidos;</w:t>
      </w:r>
    </w:p>
    <w:p>
      <w:pPr>
        <w:jc w:val="both"/>
        <w:rPr>
          <w:rFonts w:asciiTheme="majorHAnsi" w:eastAsia="Arial" w:hAnsiTheme="majorHAnsi"/>
        </w:rPr>
      </w:pPr>
    </w:p>
    <w:p>
      <w:pPr>
        <w:jc w:val="both"/>
        <w:rPr>
          <w:rFonts w:asciiTheme="majorHAnsi" w:eastAsia="Arial" w:hAnsiTheme="majorHAnsi"/>
        </w:rPr>
      </w:pPr>
      <w:r>
        <w:rPr>
          <w:rFonts w:asciiTheme="majorHAnsi" w:eastAsia="Arial" w:hAnsiTheme="majorHAnsi"/>
          <w:b/>
        </w:rPr>
        <w:t>8.2.3.</w:t>
      </w:r>
      <w:r>
        <w:rPr>
          <w:rFonts w:asciiTheme="majorHAnsi" w:eastAsia="Arial" w:hAnsiTheme="majorHAnsi"/>
        </w:rPr>
        <w:t xml:space="preserve"> Indenizações e multas.</w:t>
      </w:r>
    </w:p>
    <w:p>
      <w:pPr>
        <w:jc w:val="both"/>
        <w:rPr>
          <w:rFonts w:asciiTheme="majorHAnsi" w:eastAsia="Arial" w:hAnsiTheme="majorHAnsi"/>
        </w:rPr>
      </w:pPr>
      <w:r>
        <w:rPr>
          <w:rFonts w:asciiTheme="majorHAnsi" w:eastAsia="Arial" w:hAnsiTheme="majorHAnsi"/>
          <w:b/>
        </w:rPr>
        <w:t>8.3.</w:t>
      </w:r>
      <w:r>
        <w:rPr>
          <w:rFonts w:asciiTheme="majorHAnsi" w:eastAsia="Arial" w:hAnsiTheme="majorHAnsi"/>
        </w:rPr>
        <w:t xml:space="preserve"> A extinção do contrato não configura óbice para o reconhecimento do desequilíbrio econômico-financeiro, hipótese em que será concedida indenização por meio de termo indenizatório, obedecidas as condicionantes legais.</w:t>
      </w:r>
    </w:p>
    <w:p>
      <w:pPr>
        <w:jc w:val="both"/>
        <w:rPr>
          <w:rFonts w:asciiTheme="majorHAnsi" w:eastAsia="Arial" w:hAnsiTheme="majorHAnsi"/>
        </w:rPr>
      </w:pPr>
      <w:r>
        <w:rPr>
          <w:rFonts w:asciiTheme="majorHAnsi" w:eastAsia="Arial" w:hAnsiTheme="majorHAnsi"/>
          <w:b/>
        </w:rPr>
        <w:t>8.4.</w:t>
      </w:r>
      <w:r>
        <w:rPr>
          <w:rFonts w:asciiTheme="majorHAnsi" w:eastAsia="Arial" w:hAnsiTheme="majorHAnsi"/>
        </w:rPr>
        <w:t xml:space="preserve"> 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NONA - DAS DISPOSIÇÕES FINAIS</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9.1.</w:t>
      </w:r>
      <w:r>
        <w:rPr>
          <w:rFonts w:asciiTheme="majorHAnsi" w:eastAsia="Arial" w:hAnsiTheme="majorHAnsi"/>
        </w:rPr>
        <w:t xml:space="preserve"> O CONTRATADO se obriga a manter, durante toda a execução do contrato, em compatibilidade com as obrigações por ele assumidas, todas as condições de habilitação e qualificação exigidas na licitação.</w:t>
      </w:r>
    </w:p>
    <w:p>
      <w:pPr>
        <w:jc w:val="both"/>
        <w:rPr>
          <w:rFonts w:asciiTheme="majorHAnsi" w:eastAsia="Arial" w:hAnsiTheme="majorHAnsi"/>
        </w:rPr>
      </w:pPr>
      <w:r>
        <w:rPr>
          <w:rFonts w:asciiTheme="majorHAnsi" w:eastAsia="Arial" w:hAnsiTheme="majorHAnsi"/>
          <w:b/>
        </w:rPr>
        <w:t>9.2.</w:t>
      </w:r>
      <w:r>
        <w:rPr>
          <w:rFonts w:asciiTheme="majorHAnsi" w:eastAsia="Arial" w:hAnsiTheme="majorHAnsi"/>
        </w:rPr>
        <w:t xml:space="preserve"> O presente contrato tem seus termos e sua execução vinculada ao edital de licitação e à proposta licitatória. </w:t>
      </w:r>
    </w:p>
    <w:p>
      <w:pPr>
        <w:jc w:val="both"/>
        <w:rPr>
          <w:rFonts w:asciiTheme="majorHAnsi" w:eastAsia="Arial" w:hAnsiTheme="majorHAnsi"/>
        </w:rPr>
      </w:pPr>
      <w:r>
        <w:rPr>
          <w:rFonts w:asciiTheme="majorHAnsi" w:eastAsia="Arial" w:hAnsiTheme="majorHAnsi"/>
          <w:b/>
        </w:rPr>
        <w:t>9.3.</w:t>
      </w:r>
      <w:r>
        <w:rPr>
          <w:rFonts w:asciiTheme="majorHAnsi" w:eastAsia="Arial" w:hAnsiTheme="majorHAnsi"/>
        </w:rPr>
        <w:t xml:space="preserve"> O CONTRATANTE se reserva o direito de fazer uso de qualquer das prerrogativas dispostas no artigo 104 da Lei nº 14.133/2021 de 1º de abril de 2021, alterada e consolidada.</w:t>
      </w:r>
    </w:p>
    <w:p>
      <w:pPr>
        <w:jc w:val="both"/>
        <w:rPr>
          <w:rFonts w:asciiTheme="majorHAnsi" w:eastAsia="Arial" w:hAnsiTheme="majorHAnsi"/>
        </w:rPr>
      </w:pPr>
      <w:r>
        <w:rPr>
          <w:rFonts w:asciiTheme="majorHAnsi" w:eastAsia="Arial" w:hAnsiTheme="majorHAnsi"/>
          <w:b/>
        </w:rPr>
        <w:t>9.4.</w:t>
      </w:r>
      <w:r>
        <w:rPr>
          <w:rFonts w:asciiTheme="majorHAnsi" w:eastAsia="Arial" w:hAnsiTheme="majorHAnsi"/>
        </w:rPr>
        <w:t xml:space="preserve"> O presente contrato poderá ser alterado unilateralmente pela Administração ou por acordo das partes, com as devidas justificativas, nos casos previstos na Lei.</w:t>
      </w:r>
    </w:p>
    <w:p>
      <w:pPr>
        <w:jc w:val="both"/>
        <w:rPr>
          <w:rFonts w:asciiTheme="majorHAnsi" w:eastAsia="Arial" w:hAnsiTheme="majorHAnsi"/>
        </w:rPr>
      </w:pPr>
      <w:r>
        <w:rPr>
          <w:rFonts w:asciiTheme="majorHAnsi" w:eastAsia="Arial" w:hAnsiTheme="majorHAnsi"/>
          <w:b/>
        </w:rPr>
        <w:t>9.5.</w:t>
      </w:r>
      <w:r>
        <w:rPr>
          <w:rFonts w:asciiTheme="majorHAnsi" w:eastAsia="Arial" w:hAnsiTheme="majorHAnsi"/>
        </w:rPr>
        <w:t xml:space="preserve"> A inadimplência do contratado com referência aos encargos trabalhistas, fiscais e comerciais não transfere ao CONTRATANTE a responsabilidade por seu pagamento, nem poderá onerar o objeto do contrato ou restringir a regularização e o uso dos serviços pela Administração.</w:t>
      </w:r>
    </w:p>
    <w:p>
      <w:pPr>
        <w:jc w:val="both"/>
        <w:rPr>
          <w:rFonts w:asciiTheme="majorHAnsi" w:eastAsia="Arial" w:hAnsiTheme="majorHAnsi"/>
        </w:rPr>
      </w:pPr>
      <w:r>
        <w:rPr>
          <w:rFonts w:asciiTheme="majorHAnsi" w:eastAsia="Arial" w:hAnsiTheme="majorHAnsi"/>
          <w:b/>
        </w:rPr>
        <w:t>9.6.</w:t>
      </w:r>
      <w:r>
        <w:rPr>
          <w:rFonts w:asciiTheme="majorHAnsi" w:eastAsia="Arial" w:hAnsiTheme="majorHAnsi"/>
        </w:rPr>
        <w:t xml:space="preserve"> O contratado, na execução do contrato, sem prejuízo das responsabilidades contratuais e legais, não poderá subcontratar partes do contrato sem a expressa autorização da Administração.</w:t>
      </w:r>
    </w:p>
    <w:p>
      <w:pPr>
        <w:jc w:val="both"/>
        <w:rPr>
          <w:rFonts w:asciiTheme="majorHAnsi" w:eastAsia="Arial" w:hAnsiTheme="majorHAnsi"/>
        </w:rPr>
      </w:pPr>
      <w:r>
        <w:rPr>
          <w:rFonts w:asciiTheme="majorHAnsi" w:eastAsia="Arial" w:hAnsiTheme="majorHAnsi"/>
          <w:b/>
        </w:rPr>
        <w:t>9.7.</w:t>
      </w:r>
      <w:r>
        <w:rPr>
          <w:rFonts w:asciiTheme="majorHAnsi" w:eastAsia="Arial" w:hAnsiTheme="majorHAnsi"/>
        </w:rPr>
        <w:t xml:space="preserve"> A Administração rejeitará, no todo ou em parte, os bens fornecidos em desacordo com os termos do Processo Licitatório, da proposta e deste contrato.</w:t>
      </w:r>
    </w:p>
    <w:p>
      <w:pPr>
        <w:jc w:val="both"/>
        <w:rPr>
          <w:rFonts w:asciiTheme="majorHAnsi" w:eastAsia="Arial" w:hAnsiTheme="majorHAnsi"/>
        </w:rPr>
      </w:pPr>
      <w:r>
        <w:rPr>
          <w:rFonts w:asciiTheme="majorHAnsi" w:eastAsia="Arial" w:hAnsiTheme="majorHAnsi"/>
          <w:b/>
        </w:rPr>
        <w:lastRenderedPageBreak/>
        <w:t>9.8.</w:t>
      </w:r>
      <w:r>
        <w:rPr>
          <w:rFonts w:asciiTheme="majorHAnsi" w:eastAsia="Arial" w:hAnsiTheme="majorHAnsi"/>
        </w:rPr>
        <w:t xml:space="preserve"> Integram o presente contrato, independente de transcrição, todas as peças que formam o procedimento licitatório e a proposta adjudicada.</w:t>
      </w:r>
    </w:p>
    <w:p>
      <w:pPr>
        <w:jc w:val="both"/>
        <w:rPr>
          <w:rFonts w:asciiTheme="majorHAnsi" w:eastAsia="Arial" w:hAnsiTheme="majorHAnsi"/>
        </w:rPr>
      </w:pPr>
      <w:r>
        <w:rPr>
          <w:rFonts w:asciiTheme="majorHAnsi" w:eastAsia="Arial" w:hAnsiTheme="majorHAnsi"/>
          <w:b/>
        </w:rPr>
        <w:t>9.9.</w:t>
      </w:r>
      <w:r>
        <w:rPr>
          <w:rFonts w:asciiTheme="majorHAnsi" w:eastAsia="Arial" w:hAnsiTheme="majorHAnsi"/>
        </w:rPr>
        <w:t xml:space="preserve"> A Contratada, na vigência do Contrato, será a única responsável perante terceiros pelos atos praticados por seu pessoal, eximida a Contratante de quaisquer reclamações e indenizações.</w:t>
      </w:r>
    </w:p>
    <w:p>
      <w:pPr>
        <w:jc w:val="both"/>
        <w:rPr>
          <w:rFonts w:asciiTheme="majorHAnsi" w:eastAsia="Arial" w:hAnsiTheme="majorHAnsi"/>
          <w:b/>
        </w:rPr>
      </w:pPr>
    </w:p>
    <w:p>
      <w:pPr>
        <w:jc w:val="both"/>
        <w:rPr>
          <w:rFonts w:asciiTheme="majorHAnsi" w:eastAsia="Arial" w:hAnsiTheme="majorHAnsi"/>
          <w:b/>
        </w:rPr>
      </w:pPr>
      <w:r>
        <w:rPr>
          <w:rFonts w:asciiTheme="majorHAnsi" w:eastAsia="Arial" w:hAnsiTheme="majorHAnsi"/>
          <w:b/>
        </w:rPr>
        <w:t>CLÁUSULA DÉCIMA - DO FORO</w:t>
      </w:r>
    </w:p>
    <w:p>
      <w:pPr>
        <w:ind w:left="-1134" w:right="-1134"/>
        <w:rPr>
          <w:rFonts w:asciiTheme="majorHAnsi" w:eastAsia="Arial" w:hAnsiTheme="majorHAnsi"/>
        </w:rPr>
      </w:pPr>
      <w:r>
        <w:rPr>
          <w:rFonts w:asciiTheme="majorHAnsi" w:eastAsia="Arial" w:hAnsiTheme="majorHAnsi"/>
          <w:noProof/>
        </w:rPr>
        <w:drawing>
          <wp:inline distT="0" distB="0" distL="0" distR="0">
            <wp:extent cx="6448425" cy="85725"/>
            <wp:effectExtent l="0" t="0" r="0" b="0"/>
            <wp:docPr id="17645733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48425" cy="85725"/>
                    </a:xfrm>
                    <a:prstGeom prst="rect">
                      <a:avLst/>
                    </a:prstGeom>
                    <a:ln/>
                  </pic:spPr>
                </pic:pic>
              </a:graphicData>
            </a:graphic>
          </wp:inline>
        </w:drawing>
      </w:r>
    </w:p>
    <w:p>
      <w:pPr>
        <w:jc w:val="both"/>
        <w:rPr>
          <w:rFonts w:asciiTheme="majorHAnsi" w:eastAsia="Arial" w:hAnsiTheme="majorHAnsi"/>
        </w:rPr>
      </w:pPr>
      <w:r>
        <w:rPr>
          <w:rFonts w:asciiTheme="majorHAnsi" w:eastAsia="Arial" w:hAnsiTheme="majorHAnsi"/>
          <w:b/>
        </w:rPr>
        <w:t>10.1.</w:t>
      </w:r>
      <w:r>
        <w:rPr>
          <w:rFonts w:asciiTheme="majorHAnsi" w:eastAsia="Arial" w:hAnsiTheme="majorHAnsi"/>
        </w:rPr>
        <w:t xml:space="preserve"> O foro da Comarca de Miraíma/CE é o competente para dirimir questões decorrentes da execução deste Contrato, em obediência ao disposto no § 1º do artigo 99 da Lei 14.133/2021 de 1º de abril de 2021, alterada e consolidada.</w:t>
      </w:r>
    </w:p>
    <w:p>
      <w:pPr>
        <w:jc w:val="both"/>
        <w:rPr>
          <w:rFonts w:asciiTheme="majorHAnsi" w:eastAsia="Arial" w:hAnsiTheme="majorHAnsi"/>
        </w:rPr>
      </w:pPr>
    </w:p>
    <w:p>
      <w:pPr>
        <w:jc w:val="both"/>
        <w:rPr>
          <w:rFonts w:asciiTheme="majorHAnsi" w:eastAsia="Arial" w:hAnsiTheme="majorHAnsi"/>
        </w:rPr>
      </w:pPr>
      <w:r>
        <w:rPr>
          <w:rFonts w:asciiTheme="majorHAnsi" w:eastAsia="Arial" w:hAnsiTheme="majorHAnsi"/>
        </w:rPr>
        <w:t>Assim pactuadas, as partes firmam o presente Instrumento, lavrado na Prefeitura Municipal de Miraíma/CE, perante testemunhas que também o assinam, para que produza os seus jurídicos e legais efeitos.</w:t>
      </w:r>
    </w:p>
    <w:p>
      <w:pPr>
        <w:jc w:val="right"/>
        <w:rPr>
          <w:rFonts w:asciiTheme="majorHAnsi" w:eastAsia="Arial" w:hAnsiTheme="majorHAnsi"/>
        </w:rPr>
      </w:pPr>
    </w:p>
    <w:p>
      <w:pPr>
        <w:jc w:val="right"/>
        <w:rPr>
          <w:rFonts w:asciiTheme="majorHAnsi" w:eastAsia="Arial" w:hAnsiTheme="majorHAnsi"/>
        </w:rPr>
      </w:pPr>
      <w:r>
        <w:rPr>
          <w:rFonts w:asciiTheme="majorHAnsi" w:eastAsia="Arial" w:hAnsiTheme="majorHAnsi"/>
        </w:rPr>
        <w:t>Miraíma/CE - CE, ____ de __________ de ______.</w:t>
      </w:r>
    </w:p>
    <w:p>
      <w:pPr>
        <w:jc w:val="both"/>
        <w:rPr>
          <w:rFonts w:asciiTheme="majorHAnsi" w:eastAsia="Arial" w:hAnsiTheme="majorHAnsi"/>
        </w:rPr>
      </w:pPr>
    </w:p>
    <w:tbl>
      <w:tblPr>
        <w:tblStyle w:val="ab"/>
        <w:tblW w:w="9606" w:type="dxa"/>
        <w:jc w:val="center"/>
        <w:tblInd w:w="0" w:type="dxa"/>
        <w:tblLayout w:type="fixed"/>
        <w:tblLook w:val="0400" w:firstRow="0" w:lastRow="0" w:firstColumn="0" w:lastColumn="0" w:noHBand="0" w:noVBand="1"/>
      </w:tblPr>
      <w:tblGrid>
        <w:gridCol w:w="4361"/>
        <w:gridCol w:w="5245"/>
      </w:tblGrid>
      <w:tr>
        <w:trPr>
          <w:jc w:val="center"/>
        </w:trPr>
        <w:tc>
          <w:tcPr>
            <w:tcW w:w="4361" w:type="dxa"/>
          </w:tcPr>
          <w:p>
            <w:pPr>
              <w:jc w:val="center"/>
              <w:rPr>
                <w:rFonts w:asciiTheme="majorHAnsi" w:eastAsia="Arial" w:hAnsiTheme="majorHAnsi"/>
              </w:rPr>
            </w:pPr>
            <w:r>
              <w:rPr>
                <w:rFonts w:asciiTheme="majorHAnsi" w:eastAsia="Arial" w:hAnsiTheme="majorHAnsi"/>
              </w:rPr>
              <w:t>Secretário(a) de _________</w:t>
            </w:r>
          </w:p>
          <w:p>
            <w:pPr>
              <w:pBdr>
                <w:top w:val="nil"/>
                <w:left w:val="nil"/>
                <w:bottom w:val="nil"/>
                <w:right w:val="nil"/>
                <w:between w:val="nil"/>
              </w:pBdr>
              <w:jc w:val="center"/>
              <w:rPr>
                <w:rFonts w:asciiTheme="majorHAnsi" w:eastAsia="Arial" w:hAnsiTheme="majorHAnsi"/>
                <w:color w:val="000000"/>
              </w:rPr>
            </w:pPr>
            <w:r>
              <w:rPr>
                <w:rFonts w:asciiTheme="majorHAnsi" w:eastAsia="Arial" w:hAnsiTheme="majorHAnsi"/>
                <w:color w:val="000000"/>
              </w:rPr>
              <w:t>CONTRATANTE</w:t>
            </w:r>
          </w:p>
          <w:p>
            <w:pPr>
              <w:jc w:val="center"/>
              <w:rPr>
                <w:rFonts w:asciiTheme="majorHAnsi" w:eastAsia="Arial" w:hAnsiTheme="majorHAnsi"/>
              </w:rPr>
            </w:pPr>
          </w:p>
        </w:tc>
        <w:tc>
          <w:tcPr>
            <w:tcW w:w="5245" w:type="dxa"/>
          </w:tcPr>
          <w:p>
            <w:pPr>
              <w:jc w:val="center"/>
              <w:rPr>
                <w:rFonts w:asciiTheme="majorHAnsi" w:eastAsia="Arial" w:hAnsiTheme="majorHAnsi"/>
              </w:rPr>
            </w:pPr>
            <w:r>
              <w:rPr>
                <w:rFonts w:asciiTheme="majorHAnsi" w:eastAsia="Arial" w:hAnsiTheme="majorHAnsi"/>
              </w:rPr>
              <w:t>EMPRESA: ______________</w:t>
            </w:r>
          </w:p>
          <w:p>
            <w:pPr>
              <w:jc w:val="center"/>
              <w:rPr>
                <w:rFonts w:asciiTheme="majorHAnsi" w:eastAsia="Arial" w:hAnsiTheme="majorHAnsi"/>
              </w:rPr>
            </w:pPr>
            <w:r>
              <w:rPr>
                <w:rFonts w:asciiTheme="majorHAnsi" w:eastAsia="Arial" w:hAnsiTheme="majorHAnsi"/>
              </w:rPr>
              <w:t>Sr(a). ______________</w:t>
            </w:r>
          </w:p>
          <w:p>
            <w:pPr>
              <w:jc w:val="center"/>
              <w:rPr>
                <w:rFonts w:asciiTheme="majorHAnsi" w:eastAsia="Arial" w:hAnsiTheme="majorHAnsi"/>
              </w:rPr>
            </w:pPr>
            <w:r>
              <w:rPr>
                <w:rFonts w:asciiTheme="majorHAnsi" w:eastAsia="Arial" w:hAnsiTheme="majorHAnsi"/>
              </w:rPr>
              <w:t>CONTRATADA</w:t>
            </w:r>
          </w:p>
        </w:tc>
      </w:tr>
    </w:tbl>
    <w:p>
      <w:pPr>
        <w:rPr>
          <w:rFonts w:asciiTheme="majorHAnsi" w:eastAsia="Arial" w:hAnsiTheme="majorHAnsi"/>
          <w:b/>
        </w:rPr>
      </w:pPr>
    </w:p>
    <w:p>
      <w:pPr>
        <w:rPr>
          <w:rFonts w:asciiTheme="majorHAnsi" w:eastAsia="Arial" w:hAnsiTheme="majorHAnsi"/>
          <w:b/>
        </w:rPr>
      </w:pPr>
      <w:r>
        <w:rPr>
          <w:rFonts w:asciiTheme="majorHAnsi" w:eastAsia="Arial" w:hAnsiTheme="majorHAnsi"/>
          <w:b/>
        </w:rPr>
        <w:t>TESTEMUNHAS:</w:t>
      </w:r>
    </w:p>
    <w:p>
      <w:pPr>
        <w:rPr>
          <w:rFonts w:asciiTheme="majorHAnsi" w:eastAsia="Arial" w:hAnsiTheme="majorHAnsi"/>
        </w:rPr>
      </w:pPr>
      <w:r>
        <w:rPr>
          <w:rFonts w:asciiTheme="majorHAnsi" w:eastAsia="Arial" w:hAnsiTheme="majorHAnsi"/>
          <w:b/>
        </w:rPr>
        <w:t>1</w:t>
      </w:r>
      <w:r>
        <w:rPr>
          <w:rFonts w:asciiTheme="majorHAnsi" w:eastAsia="Arial" w:hAnsiTheme="majorHAnsi"/>
        </w:rPr>
        <w:t>___________________________________________ CPF nº __________________________</w:t>
      </w:r>
    </w:p>
    <w:p>
      <w:pPr>
        <w:rPr>
          <w:rFonts w:asciiTheme="majorHAnsi" w:eastAsia="Arial" w:hAnsiTheme="majorHAnsi"/>
        </w:rPr>
      </w:pPr>
      <w:r>
        <w:rPr>
          <w:rFonts w:asciiTheme="majorHAnsi" w:eastAsia="Arial" w:hAnsiTheme="majorHAnsi"/>
          <w:b/>
        </w:rPr>
        <w:t>2</w:t>
      </w:r>
      <w:r>
        <w:rPr>
          <w:rFonts w:asciiTheme="majorHAnsi" w:eastAsia="Arial" w:hAnsiTheme="majorHAnsi"/>
        </w:rPr>
        <w:t>.___________________________________________ CPF nº __________________________</w:t>
      </w: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rPr>
          <w:rFonts w:asciiTheme="majorHAnsi" w:eastAsia="Arial" w:hAnsiTheme="majorHAnsi"/>
        </w:rPr>
      </w:pPr>
    </w:p>
    <w:p>
      <w:pPr>
        <w:jc w:val="center"/>
        <w:rPr>
          <w:rFonts w:ascii="Times New Roman" w:hAnsi="Times New Roman"/>
          <w:b/>
          <w:bCs/>
          <w:sz w:val="24"/>
          <w:szCs w:val="24"/>
        </w:rPr>
      </w:pPr>
      <w:r>
        <w:rPr>
          <w:rFonts w:ascii="Times New Roman" w:hAnsi="Times New Roman"/>
          <w:b/>
          <w:bCs/>
          <w:sz w:val="24"/>
          <w:szCs w:val="24"/>
        </w:rPr>
        <w:lastRenderedPageBreak/>
        <w:t>AVISO DE PREGÃO ELETRÔNICO N° 90019/2025 - PE</w:t>
      </w:r>
    </w:p>
    <w:p>
      <w:pPr>
        <w:jc w:val="center"/>
        <w:rPr>
          <w:rFonts w:ascii="Times New Roman" w:hAnsi="Times New Roman"/>
          <w:b/>
          <w:bCs/>
          <w:sz w:val="24"/>
          <w:szCs w:val="24"/>
        </w:rPr>
      </w:pPr>
    </w:p>
    <w:p>
      <w:pPr>
        <w:pStyle w:val="PargrafodaLista"/>
        <w:ind w:left="0"/>
        <w:jc w:val="both"/>
        <w:rPr>
          <w:i/>
          <w:sz w:val="24"/>
          <w:szCs w:val="24"/>
          <w:lang w:eastAsia="pt-BR"/>
        </w:rPr>
      </w:pPr>
      <w:r>
        <w:rPr>
          <w:sz w:val="24"/>
          <w:szCs w:val="24"/>
        </w:rPr>
        <w:t xml:space="preserve">ESTADO DO CEARÁ – PREFEITURA MUNICIPAL DE MIRAÍMA – AVISO DE PREGÃO ELETRÔNICO N° 90019-PE. A Prefeitura Municipal de Miraíma-CE, por meio do Pregoeiro, torna público que se encontra à disposição dos interessados o EDITAL DO PREGÃO ELETRÔNICO Nº. 90019/2025-PE, que tem como objeto a </w:t>
      </w:r>
      <w:r>
        <w:rPr>
          <w:b/>
          <w:bCs/>
          <w:sz w:val="24"/>
          <w:szCs w:val="24"/>
          <w:lang w:eastAsia="pt-BR"/>
        </w:rPr>
        <w:t>AQUISIÇÃO DE VEÍCULOS (ZERO QUILÔMETRO), DESTINADOS AO ATENDIMENTO DAS NECESSIDADES DAS DIVERSAS SECRETARIAS DO MUNICÍPIO DE MIRAÍMA/CE</w:t>
      </w:r>
      <w:r>
        <w:rPr>
          <w:b/>
          <w:sz w:val="24"/>
          <w:szCs w:val="24"/>
        </w:rPr>
        <w:t>.</w:t>
      </w:r>
      <w:r>
        <w:rPr>
          <w:sz w:val="24"/>
          <w:szCs w:val="24"/>
        </w:rPr>
        <w:t xml:space="preserve"> Esta licitação está sujeita às disposições da Lei Federal nº 14.133/2021. O Edital poderá ser obtido no site do Compras Gov através dos endereços eletrônicos: </w:t>
      </w:r>
      <w:hyperlink r:id="rId53" w:history="1">
        <w:r>
          <w:rPr>
            <w:rStyle w:val="Hyperlink"/>
            <w:sz w:val="24"/>
            <w:szCs w:val="24"/>
          </w:rPr>
          <w:t>http://www.comprasgov.com.br</w:t>
        </w:r>
      </w:hyperlink>
      <w:r>
        <w:rPr>
          <w:sz w:val="24"/>
          <w:szCs w:val="24"/>
        </w:rPr>
        <w:t xml:space="preserve">, </w:t>
      </w:r>
      <w:r>
        <w:rPr>
          <w:rStyle w:val="Hyperlink"/>
          <w:sz w:val="24"/>
          <w:szCs w:val="24"/>
        </w:rPr>
        <w:t xml:space="preserve">www.miraima.ce.gov.br </w:t>
      </w:r>
      <w:r>
        <w:rPr>
          <w:sz w:val="24"/>
          <w:szCs w:val="24"/>
        </w:rPr>
        <w:t xml:space="preserve">ou </w:t>
      </w:r>
      <w:r>
        <w:rPr>
          <w:rStyle w:val="Hyperlink"/>
          <w:sz w:val="24"/>
          <w:szCs w:val="24"/>
        </w:rPr>
        <w:t>https://licitacoes.tce.ce.gov.br/</w:t>
      </w:r>
      <w:r>
        <w:rPr>
          <w:sz w:val="24"/>
          <w:szCs w:val="24"/>
        </w:rPr>
        <w:t>. O recebimento das propostas através do site do site do Compras gov (Comprasnet) dar-se-á até às 08h59min do dia 23/07/2025. Abertura das Propostas: 23/07/2025 às 09h00min. Início da Disputa de Lances às 09h00min dia 23/07/2025 (horário de Brasília). Solicitações de esclarecimento acerca do edital deverão ser enviadas ao endereço eletrônico de e-mail: licitacao@miraima.ce.gov.br. ANTÔNIO ROBSON ALVES DOS SANTOS – Pregoeiro. Prefeitura Municipal de Miraíma, 09 de julho de 2025.</w:t>
      </w:r>
    </w:p>
    <w:p>
      <w:pPr>
        <w:jc w:val="both"/>
        <w:rPr>
          <w:rFonts w:ascii="Times New Roman" w:hAnsi="Times New Roman"/>
          <w:sz w:val="24"/>
          <w:szCs w:val="24"/>
        </w:rPr>
      </w:pPr>
      <w:r>
        <w:rPr>
          <w:rFonts w:ascii="Times New Roman" w:hAnsi="Times New Roman"/>
          <w:sz w:val="24"/>
          <w:szCs w:val="24"/>
        </w:rPr>
        <w:t xml:space="preserve"> </w:t>
      </w:r>
    </w:p>
    <w:p>
      <w:pPr>
        <w:jc w:val="both"/>
        <w:rPr>
          <w:rFonts w:ascii="Times New Roman" w:hAnsi="Times New Roman"/>
          <w:sz w:val="24"/>
          <w:szCs w:val="24"/>
        </w:rPr>
      </w:pPr>
    </w:p>
    <w:p>
      <w:pPr>
        <w:suppressAutoHyphens/>
        <w:jc w:val="center"/>
        <w:rPr>
          <w:rFonts w:ascii="Times New Roman" w:eastAsia="Times New Roman" w:hAnsi="Times New Roman"/>
          <w:b/>
          <w:sz w:val="24"/>
          <w:szCs w:val="24"/>
          <w:lang w:eastAsia="ar-SA"/>
        </w:rPr>
      </w:pPr>
      <w:r>
        <w:rPr>
          <w:rFonts w:ascii="Times New Roman" w:eastAsia="Times New Roman" w:hAnsi="Times New Roman"/>
          <w:b/>
          <w:sz w:val="24"/>
          <w:szCs w:val="24"/>
          <w:lang w:eastAsia="ar-SA"/>
        </w:rPr>
        <w:t>ANTÔNIO ROBSON ALVES DOS SANTOS</w:t>
      </w:r>
    </w:p>
    <w:p>
      <w:pPr>
        <w:suppressAutoHyphens/>
        <w:jc w:val="center"/>
        <w:rPr>
          <w:rFonts w:ascii="Times New Roman" w:eastAsia="Times New Roman" w:hAnsi="Times New Roman"/>
          <w:sz w:val="24"/>
          <w:szCs w:val="24"/>
          <w:lang w:eastAsia="ar-SA"/>
        </w:rPr>
      </w:pPr>
      <w:r>
        <w:rPr>
          <w:rFonts w:ascii="Times New Roman" w:eastAsia="Times New Roman" w:hAnsi="Times New Roman"/>
          <w:sz w:val="24"/>
          <w:szCs w:val="24"/>
          <w:lang w:eastAsia="ar-SA"/>
        </w:rPr>
        <w:t>Pregoeiro do Município de Miraíma-CE</w:t>
      </w:r>
    </w:p>
    <w:p>
      <w:pPr>
        <w:rPr>
          <w:rFonts w:asciiTheme="majorHAnsi" w:eastAsia="Arial" w:hAnsiTheme="majorHAnsi"/>
        </w:rPr>
      </w:pPr>
    </w:p>
    <w:sectPr>
      <w:headerReference w:type="default" r:id="rId54"/>
      <w:footerReference w:type="default" r:id="rId55"/>
      <w:pgSz w:w="11907" w:h="16840"/>
      <w:pgMar w:top="1440" w:right="1418" w:bottom="1440" w:left="1418" w:header="1418" w:footer="24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82A65FEF-9B8F-47F9-AF64-2B732878FBF2}"/>
    <w:embedBold r:id="rId2" w:fontKey="{E4D3480B-677E-40CE-8572-201541DEA0EC}"/>
  </w:font>
  <w:font w:name="Calibri">
    <w:panose1 w:val="020F0502020204030204"/>
    <w:charset w:val="00"/>
    <w:family w:val="swiss"/>
    <w:pitch w:val="variable"/>
    <w:sig w:usb0="E4002EFF" w:usb1="C000247B" w:usb2="00000009" w:usb3="00000000" w:csb0="000001FF" w:csb1="00000000"/>
    <w:embedRegular r:id="rId3" w:fontKey="{1B9E26DC-538E-4207-B0D2-18697861870A}"/>
    <w:embedBold r:id="rId4" w:fontKey="{8FB368F7-5DC8-414E-B4EE-B01D1D0DDF3C}"/>
    <w:embedItalic r:id="rId5" w:fontKey="{6B1A4975-92CA-4D96-9C22-E8BD67225D58}"/>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Italic r:id="rId6" w:fontKey="{7E4C0D15-E1CB-4090-A4E1-30450256519B}"/>
  </w:font>
  <w:font w:name="Arial Rounded MT Bold">
    <w:charset w:val="00"/>
    <w:family w:val="swiss"/>
    <w:pitch w:val="variable"/>
    <w:sig w:usb0="00000003" w:usb1="00000000" w:usb2="00000000" w:usb3="00000000" w:csb0="00000001" w:csb1="00000000"/>
    <w:embedBold r:id="rId7" w:fontKey="{B6605894-C046-4052-BBA0-6EE5D76BC890}"/>
  </w:font>
  <w:font w:name="Bookman Old Style">
    <w:panose1 w:val="02050604050505020204"/>
    <w:charset w:val="00"/>
    <w:family w:val="roman"/>
    <w:pitch w:val="variable"/>
    <w:sig w:usb0="00000287" w:usb1="00000000" w:usb2="00000000" w:usb3="00000000" w:csb0="0000009F" w:csb1="00000000"/>
    <w:embedRegular r:id="rId8" w:fontKey="{A76D1087-7E10-4790-83E4-4FF557583378}"/>
    <w:embedBold r:id="rId9" w:fontKey="{07218BEE-CCC0-48AE-8EA9-3ACB2723F43F}"/>
  </w:font>
  <w:font w:name="Tahoma">
    <w:panose1 w:val="020B0604030504040204"/>
    <w:charset w:val="00"/>
    <w:family w:val="swiss"/>
    <w:pitch w:val="variable"/>
    <w:sig w:usb0="E1002EFF" w:usb1="C000605B" w:usb2="00000029" w:usb3="00000000" w:csb0="000101FF" w:csb1="00000000"/>
    <w:embedRegular r:id="rId10" w:fontKey="{C3431432-2C5A-4717-8CD9-0FC98E2E74D2}"/>
    <w:embedItalic r:id="rId11" w:fontKey="{765AB677-AA3C-4EA3-B6F0-2B769FA5D473}"/>
  </w:font>
  <w:font w:name="Tahoma-Bold">
    <w:altName w:val="Times New Roman"/>
    <w:charset w:val="00"/>
    <w:family w:val="swiss"/>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12" w:fontKey="{BABFCCA0-0317-433A-B15C-B404C856654B}"/>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embedRegular r:id="rId13" w:fontKey="{827E2E0A-D006-4508-843A-6EFD695DF3D5}"/>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embedRegular r:id="rId14" w:fontKey="{6DA88100-2A16-46A1-BB39-9694FB4FF51F}"/>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embedRegular r:id="rId15" w:fontKey="{B4F97038-20A7-4BCF-9F7B-96F45B38C502}"/>
    <w:embedBold r:id="rId16" w:fontKey="{3DF75469-8C9E-4306-B8EA-87D6FD5DA1A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tabs>
        <w:tab w:val="center" w:pos="4252"/>
        <w:tab w:val="right" w:pos="8504"/>
      </w:tabs>
      <w:suppressAutoHyphens/>
      <w:jc w:val="center"/>
      <w:rPr>
        <w:rFonts w:ascii="Arial" w:eastAsia="Times New Roman" w:hAnsi="Arial" w:cs="Arial"/>
        <w:lang w:eastAsia="ar-SA"/>
      </w:rPr>
    </w:pPr>
    <w:r>
      <w:rPr>
        <w:rFonts w:ascii="Times New Roman" w:eastAsia="Times New Roman" w:hAnsi="Times New Roman"/>
        <w:noProof/>
        <w:sz w:val="20"/>
        <w:szCs w:val="20"/>
      </w:rPr>
      <w:drawing>
        <wp:anchor distT="0" distB="0" distL="114300" distR="114300" simplePos="0" relativeHeight="25165926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145742690" name="Imagem 14"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sz w:val="20"/>
        <w:szCs w:val="20"/>
      </w:rPr>
      <w:drawing>
        <wp:anchor distT="0" distB="0" distL="114300" distR="114300" simplePos="0" relativeHeight="25166028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851973921" name="Imagem 13"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sz w:val="20"/>
        <w:szCs w:val="20"/>
      </w:rPr>
      <w:drawing>
        <wp:anchor distT="0" distB="0" distL="114300" distR="114300" simplePos="0" relativeHeight="2516613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265245404" name="Imagem 12"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imes New Roman" w:hAnsi="Arial" w:cs="Arial"/>
        <w:lang w:eastAsia="ar-SA"/>
      </w:rPr>
      <w:t>Esplanada da Estação, 433 – Centro – Miraíma – CE</w:t>
    </w:r>
  </w:p>
  <w:p>
    <w:pPr>
      <w:tabs>
        <w:tab w:val="center" w:pos="4252"/>
        <w:tab w:val="right" w:pos="8504"/>
      </w:tabs>
      <w:suppressAutoHyphens/>
      <w:jc w:val="center"/>
      <w:rPr>
        <w:rFonts w:ascii="Arial" w:eastAsia="Times New Roman" w:hAnsi="Arial" w:cs="Arial"/>
        <w:lang w:eastAsia="ar-SA"/>
      </w:rPr>
    </w:pPr>
    <w:r>
      <w:rPr>
        <w:rFonts w:ascii="Arial" w:eastAsia="Times New Roman" w:hAnsi="Arial" w:cs="Arial"/>
        <w:lang w:eastAsia="ar-SA"/>
      </w:rPr>
      <w:t xml:space="preserve">Telefone: 88 36301167 – E-mail: </w:t>
    </w:r>
    <w:hyperlink r:id="rId3" w:history="1">
      <w:r>
        <w:rPr>
          <w:rFonts w:ascii="Arial" w:eastAsia="Times New Roman" w:hAnsi="Arial" w:cs="Arial"/>
          <w:color w:val="0563C1"/>
          <w:u w:val="single"/>
          <w:lang w:eastAsia="ar-SA"/>
        </w:rPr>
        <w:t>gabinete@miraima.ce.gov.br</w:t>
      </w:r>
    </w:hyperlink>
  </w:p>
  <w:p>
    <w:pPr>
      <w:tabs>
        <w:tab w:val="center" w:pos="4252"/>
        <w:tab w:val="right" w:pos="8504"/>
      </w:tabs>
      <w:suppressAutoHyphens/>
      <w:jc w:val="center"/>
      <w:rPr>
        <w:rFonts w:ascii="Arial" w:eastAsia="Times New Roman" w:hAnsi="Arial" w:cs="Arial"/>
        <w:lang w:eastAsia="ar-SA"/>
      </w:rPr>
    </w:pPr>
    <w:r>
      <w:rPr>
        <w:rFonts w:ascii="Arial" w:eastAsia="Times New Roman" w:hAnsi="Arial" w:cs="Arial"/>
        <w:b/>
        <w:lang w:eastAsia="ar-SA"/>
      </w:rPr>
      <w:t>CNPJ/MF</w:t>
    </w:r>
    <w:r>
      <w:rPr>
        <w:rFonts w:ascii="Arial" w:eastAsia="Times New Roman" w:hAnsi="Arial" w:cs="Arial"/>
        <w:lang w:eastAsia="ar-SA"/>
      </w:rPr>
      <w:t xml:space="preserve"> nº 10.517.563/0001-05 - </w:t>
    </w:r>
    <w:r>
      <w:rPr>
        <w:rFonts w:ascii="Arial" w:eastAsia="Times New Roman" w:hAnsi="Arial" w:cs="Arial"/>
        <w:b/>
        <w:lang w:eastAsia="ar-SA"/>
      </w:rPr>
      <w:t>CGF nº</w:t>
    </w:r>
    <w:r>
      <w:rPr>
        <w:rFonts w:ascii="Arial" w:eastAsia="Times New Roman" w:hAnsi="Arial" w:cs="Arial"/>
        <w:lang w:eastAsia="ar-SA"/>
      </w:rPr>
      <w:t xml:space="preserve"> 06.920.294-0</w:t>
    </w:r>
  </w:p>
  <w:p>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noProof/>
        <w:color w:val="333399"/>
        <w:sz w:val="26"/>
        <w:szCs w:val="26"/>
      </w:rPr>
    </w:pPr>
    <w:bookmarkStart w:id="67" w:name="_Hlk200723695"/>
    <w:bookmarkStart w:id="68" w:name="_Hlk200723696"/>
    <w:r>
      <w:rPr>
        <w:noProof/>
      </w:rPr>
      <w:drawing>
        <wp:anchor distT="0" distB="0" distL="114300" distR="114300" simplePos="0" relativeHeight="251663360" behindDoc="0" locked="0" layoutInCell="1" allowOverlap="1">
          <wp:simplePos x="0" y="0"/>
          <wp:positionH relativeFrom="margin">
            <wp:posOffset>1974850</wp:posOffset>
          </wp:positionH>
          <wp:positionV relativeFrom="paragraph">
            <wp:posOffset>-817880</wp:posOffset>
          </wp:positionV>
          <wp:extent cx="1733550" cy="1517650"/>
          <wp:effectExtent l="0" t="0" r="0" b="0"/>
          <wp:wrapThrough wrapText="bothSides">
            <wp:wrapPolygon edited="0">
              <wp:start x="10207" y="2711"/>
              <wp:lineTo x="6884" y="4880"/>
              <wp:lineTo x="5459" y="5965"/>
              <wp:lineTo x="5459" y="11930"/>
              <wp:lineTo x="2611" y="13014"/>
              <wp:lineTo x="1899" y="13828"/>
              <wp:lineTo x="1899" y="17623"/>
              <wp:lineTo x="19464" y="17623"/>
              <wp:lineTo x="19464" y="15726"/>
              <wp:lineTo x="18277" y="14099"/>
              <wp:lineTo x="15903" y="11930"/>
              <wp:lineTo x="16141" y="5694"/>
              <wp:lineTo x="14716" y="4338"/>
              <wp:lineTo x="11393" y="2711"/>
              <wp:lineTo x="10207" y="2711"/>
            </wp:wrapPolygon>
          </wp:wrapThrough>
          <wp:docPr id="1583301786" name="Imagem 158330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noProof/>
        <w:color w:val="333399"/>
        <w:sz w:val="26"/>
        <w:szCs w:val="26"/>
      </w:rPr>
      <w:drawing>
        <wp:anchor distT="0" distB="0" distL="114300" distR="114300" simplePos="0" relativeHeight="251664384" behindDoc="1" locked="0" layoutInCell="1" allowOverlap="1">
          <wp:simplePos x="0" y="0"/>
          <wp:positionH relativeFrom="column">
            <wp:posOffset>5024755</wp:posOffset>
          </wp:positionH>
          <wp:positionV relativeFrom="paragraph">
            <wp:posOffset>-585470</wp:posOffset>
          </wp:positionV>
          <wp:extent cx="1028700" cy="1104900"/>
          <wp:effectExtent l="0" t="0" r="0" b="0"/>
          <wp:wrapTight wrapText="bothSides">
            <wp:wrapPolygon edited="0">
              <wp:start x="7600" y="0"/>
              <wp:lineTo x="4800" y="1117"/>
              <wp:lineTo x="400" y="4841"/>
              <wp:lineTo x="0" y="7821"/>
              <wp:lineTo x="0" y="13779"/>
              <wp:lineTo x="3200" y="17876"/>
              <wp:lineTo x="3200" y="18248"/>
              <wp:lineTo x="7600" y="20483"/>
              <wp:lineTo x="8400" y="21228"/>
              <wp:lineTo x="13200" y="21228"/>
              <wp:lineTo x="14000" y="20483"/>
              <wp:lineTo x="18800" y="18248"/>
              <wp:lineTo x="18800" y="17876"/>
              <wp:lineTo x="21200" y="14152"/>
              <wp:lineTo x="21200" y="5214"/>
              <wp:lineTo x="16400" y="745"/>
              <wp:lineTo x="14400" y="0"/>
              <wp:lineTo x="7600" y="0"/>
            </wp:wrapPolygon>
          </wp:wrapTight>
          <wp:docPr id="1347052228" name="Imagem 134705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pic:spPr>
              </pic:pic>
            </a:graphicData>
          </a:graphic>
        </wp:anchor>
      </w:drawing>
    </w:r>
  </w:p>
  <w:p>
    <w:pPr>
      <w:pStyle w:val="Cabealho"/>
    </w:pPr>
  </w:p>
  <w:p>
    <w:pPr>
      <w:pStyle w:val="Cabealho"/>
    </w:pPr>
  </w:p>
  <w:bookmarkEnd w:id="67"/>
  <w:bookmarkEnd w:id="68"/>
  <w:p>
    <w:pPr>
      <w:widowControl w:val="0"/>
      <w:tabs>
        <w:tab w:val="center" w:pos="4252"/>
        <w:tab w:val="right" w:pos="8504"/>
      </w:tabs>
      <w:autoSpaceDE w:val="0"/>
      <w:autoSpaceDN w:val="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C09C2"/>
    <w:multiLevelType w:val="multilevel"/>
    <w:tmpl w:val="FCF02EA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upperRoman"/>
      <w:lvlText w:val="%3."/>
      <w:lvlJc w:val="right"/>
      <w:pPr>
        <w:ind w:left="1080" w:hanging="720"/>
      </w:pPr>
      <w:rPr>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
    <w:nsid w:val="02662AC1"/>
    <w:multiLevelType w:val="multilevel"/>
    <w:tmpl w:val="CEC4D34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
    <w:nsid w:val="04A67E96"/>
    <w:multiLevelType w:val="multilevel"/>
    <w:tmpl w:val="0E6A5DFC"/>
    <w:lvl w:ilvl="0">
      <w:start w:val="1"/>
      <w:numFmt w:val="decimal"/>
      <w:lvlText w:val="%1."/>
      <w:lvlJc w:val="left"/>
      <w:pPr>
        <w:ind w:left="720" w:hanging="360"/>
      </w:pPr>
    </w:lvl>
    <w:lvl w:ilvl="1">
      <w:start w:val="1"/>
      <w:numFmt w:val="decimal"/>
      <w:lvlText w:val="%1.%2."/>
      <w:lvlJc w:val="left"/>
      <w:pPr>
        <w:ind w:left="3272" w:hanging="720"/>
      </w:pPr>
      <w:rPr>
        <w:sz w:val="22"/>
        <w:szCs w:val="22"/>
      </w:rPr>
    </w:lvl>
    <w:lvl w:ilvl="2">
      <w:start w:val="1"/>
      <w:numFmt w:val="decimal"/>
      <w:lvlText w:val="%1.%2.%3."/>
      <w:lvlJc w:val="left"/>
      <w:pPr>
        <w:ind w:left="1855" w:hanging="720"/>
      </w:pPr>
      <w:rPr>
        <w:b w:val="0"/>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
    <w:nsid w:val="053E46F4"/>
    <w:multiLevelType w:val="multilevel"/>
    <w:tmpl w:val="9A9E3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E462CC"/>
    <w:multiLevelType w:val="multilevel"/>
    <w:tmpl w:val="E7F42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BBD71AF"/>
    <w:multiLevelType w:val="multilevel"/>
    <w:tmpl w:val="4096285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6">
    <w:nsid w:val="0D9371ED"/>
    <w:multiLevelType w:val="multilevel"/>
    <w:tmpl w:val="D29ADDC2"/>
    <w:lvl w:ilvl="0">
      <w:start w:val="2"/>
      <w:numFmt w:val="decimal"/>
      <w:lvlText w:val="%1."/>
      <w:lvlJc w:val="left"/>
      <w:pPr>
        <w:ind w:left="1068" w:hanging="360"/>
      </w:pPr>
    </w:lvl>
    <w:lvl w:ilvl="1">
      <w:start w:val="1"/>
      <w:numFmt w:val="decimal"/>
      <w:lvlText w:val="%1.%2."/>
      <w:lvlJc w:val="left"/>
      <w:pPr>
        <w:ind w:left="360" w:hanging="360"/>
      </w:pPr>
      <w:rPr>
        <w:b/>
        <w:bCs/>
      </w:rPr>
    </w:lvl>
    <w:lvl w:ilvl="2">
      <w:start w:val="1"/>
      <w:numFmt w:val="decimal"/>
      <w:lvlText w:val="%1.%2.%3."/>
      <w:lvlJc w:val="left"/>
      <w:pPr>
        <w:ind w:left="1288" w:hanging="720"/>
      </w:pPr>
      <w:rPr>
        <w:b w:val="0"/>
        <w:bCs/>
      </w:rPr>
    </w:lvl>
    <w:lvl w:ilvl="3">
      <w:start w:val="1"/>
      <w:numFmt w:val="decimal"/>
      <w:lvlText w:val="%1.%2.%3.%4."/>
      <w:lvlJc w:val="left"/>
      <w:pPr>
        <w:ind w:left="1428" w:hanging="720"/>
      </w:pPr>
      <w:rPr>
        <w:b w:val="0"/>
        <w:bCs/>
      </w:rPr>
    </w:lvl>
    <w:lvl w:ilvl="4">
      <w:start w:val="1"/>
      <w:numFmt w:val="decimal"/>
      <w:lvlText w:val="%1.%2.%3.%4.%5."/>
      <w:lvlJc w:val="left"/>
      <w:pPr>
        <w:ind w:left="1788" w:hanging="1080"/>
      </w:pPr>
    </w:lvl>
    <w:lvl w:ilvl="5">
      <w:start w:val="1"/>
      <w:numFmt w:val="decimal"/>
      <w:lvlText w:val="%1.%2.%3.%4.%5.%6."/>
      <w:lvlJc w:val="left"/>
      <w:pPr>
        <w:ind w:left="1788" w:hanging="1080"/>
      </w:pPr>
    </w:lvl>
    <w:lvl w:ilvl="6">
      <w:start w:val="1"/>
      <w:numFmt w:val="decimal"/>
      <w:lvlText w:val="%1.%2.%3.%4.%5.%6.%7."/>
      <w:lvlJc w:val="left"/>
      <w:pPr>
        <w:ind w:left="2148" w:hanging="1440"/>
      </w:pPr>
    </w:lvl>
    <w:lvl w:ilvl="7">
      <w:start w:val="1"/>
      <w:numFmt w:val="decimal"/>
      <w:lvlText w:val="%1.%2.%3.%4.%5.%6.%7.%8."/>
      <w:lvlJc w:val="left"/>
      <w:pPr>
        <w:ind w:left="2148" w:hanging="1440"/>
      </w:pPr>
    </w:lvl>
    <w:lvl w:ilvl="8">
      <w:start w:val="1"/>
      <w:numFmt w:val="decimal"/>
      <w:lvlText w:val="%1.%2.%3.%4.%5.%6.%7.%8.%9."/>
      <w:lvlJc w:val="left"/>
      <w:pPr>
        <w:ind w:left="2508" w:hanging="1800"/>
      </w:pPr>
    </w:lvl>
  </w:abstractNum>
  <w:abstractNum w:abstractNumId="7">
    <w:nsid w:val="10041494"/>
    <w:multiLevelType w:val="multilevel"/>
    <w:tmpl w:val="7108D038"/>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27844A1"/>
    <w:multiLevelType w:val="multilevel"/>
    <w:tmpl w:val="1C0C7AFA"/>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9">
    <w:nsid w:val="165E5302"/>
    <w:multiLevelType w:val="multilevel"/>
    <w:tmpl w:val="7494AAD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16F432A0"/>
    <w:multiLevelType w:val="multilevel"/>
    <w:tmpl w:val="EE2A688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8E54304"/>
    <w:multiLevelType w:val="multilevel"/>
    <w:tmpl w:val="246C9A56"/>
    <w:lvl w:ilvl="0">
      <w:start w:val="1"/>
      <w:numFmt w:val="lowerLetter"/>
      <w:lvlText w:val="%1."/>
      <w:lvlJc w:val="left"/>
      <w:pPr>
        <w:ind w:left="360" w:hanging="360"/>
      </w:pPr>
      <w:rPr>
        <w:b/>
        <w:bCs w:val="0"/>
      </w:rPr>
    </w:lvl>
    <w:lvl w:ilvl="1">
      <w:start w:val="1"/>
      <w:numFmt w:val="decimal"/>
      <w:lvlText w:val="%1.%2."/>
      <w:lvlJc w:val="left"/>
      <w:pPr>
        <w:ind w:left="862" w:hanging="720"/>
      </w:pPr>
      <w:rPr>
        <w:b w:val="0"/>
      </w:rPr>
    </w:lvl>
    <w:lvl w:ilvl="2">
      <w:start w:val="1"/>
      <w:numFmt w:val="decimal"/>
      <w:lvlText w:val="%1.%2.%3."/>
      <w:lvlJc w:val="left"/>
      <w:pPr>
        <w:ind w:left="720" w:hanging="720"/>
      </w:pPr>
      <w:rPr>
        <w:b w:val="0"/>
      </w:rPr>
    </w:lvl>
    <w:lvl w:ilvl="3">
      <w:start w:val="1"/>
      <w:numFmt w:val="decimal"/>
      <w:lvlText w:val="%1.%2.%3.%4."/>
      <w:lvlJc w:val="left"/>
      <w:pPr>
        <w:ind w:left="1080" w:hanging="1080"/>
      </w:pPr>
      <w:rPr>
        <w:b w:val="0"/>
      </w:rPr>
    </w:lvl>
    <w:lvl w:ilvl="4">
      <w:start w:val="1"/>
      <w:numFmt w:val="decimal"/>
      <w:lvlText w:val="%1.%2.%3.%4.%5."/>
      <w:lvlJc w:val="left"/>
      <w:pPr>
        <w:ind w:left="1080" w:hanging="1080"/>
      </w:pPr>
      <w:rPr>
        <w:b w:val="0"/>
      </w:rPr>
    </w:lvl>
    <w:lvl w:ilvl="5">
      <w:start w:val="1"/>
      <w:numFmt w:val="decimal"/>
      <w:lvlText w:val="%1.%2.%3.%4.%5.%6."/>
      <w:lvlJc w:val="left"/>
      <w:pPr>
        <w:ind w:left="1440" w:hanging="1440"/>
      </w:pPr>
      <w:rPr>
        <w:b w:val="0"/>
      </w:rPr>
    </w:lvl>
    <w:lvl w:ilvl="6">
      <w:start w:val="1"/>
      <w:numFmt w:val="decimal"/>
      <w:lvlText w:val="%1.%2.%3.%4.%5.%6.%7."/>
      <w:lvlJc w:val="left"/>
      <w:pPr>
        <w:ind w:left="1440" w:hanging="1440"/>
      </w:pPr>
      <w:rPr>
        <w:b w:val="0"/>
      </w:rPr>
    </w:lvl>
    <w:lvl w:ilvl="7">
      <w:start w:val="1"/>
      <w:numFmt w:val="decimal"/>
      <w:lvlText w:val="%1.%2.%3.%4.%5.%6.%7.%8."/>
      <w:lvlJc w:val="left"/>
      <w:pPr>
        <w:ind w:left="1800" w:hanging="1800"/>
      </w:pPr>
      <w:rPr>
        <w:b w:val="0"/>
      </w:rPr>
    </w:lvl>
    <w:lvl w:ilvl="8">
      <w:start w:val="1"/>
      <w:numFmt w:val="decimal"/>
      <w:lvlText w:val="%1.%2.%3.%4.%5.%6.%7.%8.%9."/>
      <w:lvlJc w:val="left"/>
      <w:pPr>
        <w:ind w:left="1800" w:hanging="1800"/>
      </w:pPr>
      <w:rPr>
        <w:b w:val="0"/>
      </w:rPr>
    </w:lvl>
  </w:abstractNum>
  <w:abstractNum w:abstractNumId="12">
    <w:nsid w:val="18F242E2"/>
    <w:multiLevelType w:val="multilevel"/>
    <w:tmpl w:val="126E4F9E"/>
    <w:lvl w:ilvl="0">
      <w:start w:val="1"/>
      <w:numFmt w:val="lowerLetter"/>
      <w:lvlText w:val="%1)"/>
      <w:lvlJc w:val="left"/>
      <w:pPr>
        <w:ind w:left="720" w:hanging="360"/>
      </w:pPr>
    </w:lvl>
    <w:lvl w:ilvl="1">
      <w:start w:val="1"/>
      <w:numFmt w:val="lowerLetter"/>
      <w:lvlText w:val="%2."/>
      <w:lvlJc w:val="left"/>
      <w:pPr>
        <w:ind w:left="1440" w:hanging="36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19D5391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nsid w:val="1B3E618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1BCE6906"/>
    <w:multiLevelType w:val="multilevel"/>
    <w:tmpl w:val="B0B0006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nsid w:val="1D5C100D"/>
    <w:multiLevelType w:val="multilevel"/>
    <w:tmpl w:val="A1EECA6E"/>
    <w:lvl w:ilvl="0">
      <w:start w:val="1"/>
      <w:numFmt w:val="decimal"/>
      <w:pStyle w:val="Nivel01"/>
      <w:lvlText w:val="%1."/>
      <w:lvlJc w:val="left"/>
      <w:pPr>
        <w:ind w:left="360" w:hanging="360"/>
      </w:pPr>
      <w:rPr>
        <w:b/>
      </w:rPr>
    </w:lvl>
    <w:lvl w:ilvl="1">
      <w:start w:val="1"/>
      <w:numFmt w:val="decimal"/>
      <w:pStyle w:val="Nivel2"/>
      <w:lvlText w:val="%1.%2."/>
      <w:lvlJc w:val="left"/>
      <w:pPr>
        <w:ind w:left="3410" w:hanging="432"/>
      </w:pPr>
      <w:rPr>
        <w:b w:val="0"/>
        <w:i w:val="0"/>
        <w:strike w:val="0"/>
        <w:color w:val="auto"/>
        <w:sz w:val="24"/>
        <w:szCs w:val="22"/>
        <w:u w:val="none"/>
      </w:rPr>
    </w:lvl>
    <w:lvl w:ilvl="2">
      <w:start w:val="1"/>
      <w:numFmt w:val="decimal"/>
      <w:pStyle w:val="Nivel3"/>
      <w:lvlText w:val="%1.%2.%3."/>
      <w:lvlJc w:val="left"/>
      <w:pPr>
        <w:ind w:left="3198" w:hanging="504"/>
      </w:pPr>
      <w:rPr>
        <w:rFonts w:ascii="Times New Roman" w:hAnsi="Times New Roman" w:cs="Times New Roman" w:hint="default"/>
        <w:b w:val="0"/>
        <w:i w:val="0"/>
        <w:strike w:val="0"/>
        <w:color w:val="auto"/>
        <w:sz w:val="24"/>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1DC24739"/>
    <w:multiLevelType w:val="multilevel"/>
    <w:tmpl w:val="562A2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DFB5785"/>
    <w:multiLevelType w:val="multilevel"/>
    <w:tmpl w:val="99F263FC"/>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9">
    <w:nsid w:val="1E2B7C77"/>
    <w:multiLevelType w:val="multilevel"/>
    <w:tmpl w:val="8AC4E786"/>
    <w:lvl w:ilvl="0">
      <w:start w:val="1"/>
      <w:numFmt w:val="lowerLetter"/>
      <w:pStyle w:val="Ttulo1"/>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1FED0B01"/>
    <w:multiLevelType w:val="hybridMultilevel"/>
    <w:tmpl w:val="D6AAB152"/>
    <w:lvl w:ilvl="0" w:tplc="BCB056F2">
      <w:start w:val="1"/>
      <w:numFmt w:val="upperLetter"/>
      <w:lvlText w:val="%1)"/>
      <w:lvlJc w:val="left"/>
      <w:pPr>
        <w:ind w:left="780" w:hanging="4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227801AD"/>
    <w:multiLevelType w:val="multilevel"/>
    <w:tmpl w:val="08FE3FC2"/>
    <w:lvl w:ilvl="0">
      <w:start w:val="10"/>
      <w:numFmt w:val="decimal"/>
      <w:lvlText w:val="%1."/>
      <w:lvlJc w:val="left"/>
      <w:pPr>
        <w:ind w:left="444" w:hanging="444"/>
      </w:pPr>
    </w:lvl>
    <w:lvl w:ilvl="1">
      <w:start w:val="1"/>
      <w:numFmt w:val="decimal"/>
      <w:lvlText w:val="%1.%2."/>
      <w:lvlJc w:val="left"/>
      <w:pPr>
        <w:ind w:left="444" w:hanging="444"/>
      </w:pPr>
    </w:lvl>
    <w:lvl w:ilvl="2">
      <w:start w:val="1"/>
      <w:numFmt w:val="decimal"/>
      <w:lvlText w:val="%1.%2.%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2">
    <w:nsid w:val="268D2BD3"/>
    <w:multiLevelType w:val="multilevel"/>
    <w:tmpl w:val="E3C0DEC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b w:val="0"/>
        <w:sz w:val="22"/>
        <w:szCs w:val="22"/>
      </w:rPr>
    </w:lvl>
    <w:lvl w:ilvl="3">
      <w:start w:val="1"/>
      <w:numFmt w:val="lowerLetter"/>
      <w:lvlText w:val="%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3">
    <w:nsid w:val="282E35EA"/>
    <w:multiLevelType w:val="hybridMultilevel"/>
    <w:tmpl w:val="084483E4"/>
    <w:lvl w:ilvl="0" w:tplc="04160017">
      <w:start w:val="1"/>
      <w:numFmt w:val="lowerLetter"/>
      <w:lvlText w:val="%1)"/>
      <w:lvlJc w:val="left"/>
      <w:pPr>
        <w:ind w:left="1440" w:hanging="360"/>
      </w:pPr>
    </w:lvl>
    <w:lvl w:ilvl="1" w:tplc="04160017">
      <w:start w:val="1"/>
      <w:numFmt w:val="lowerLetter"/>
      <w:lvlText w:val="%2)"/>
      <w:lvlJc w:val="left"/>
      <w:pPr>
        <w:ind w:left="2160" w:hanging="360"/>
      </w:pPr>
      <w:rPr>
        <w:b/>
        <w:bCs w:val="0"/>
      </w:rPr>
    </w:lvl>
    <w:lvl w:ilvl="2" w:tplc="0416001B">
      <w:start w:val="1"/>
      <w:numFmt w:val="lowerRoman"/>
      <w:lvlText w:val="%3."/>
      <w:lvlJc w:val="right"/>
      <w:pPr>
        <w:ind w:left="2880" w:hanging="180"/>
      </w:pPr>
    </w:lvl>
    <w:lvl w:ilvl="3" w:tplc="0416000F">
      <w:start w:val="1"/>
      <w:numFmt w:val="decimal"/>
      <w:lvlText w:val="%4."/>
      <w:lvlJc w:val="left"/>
      <w:pPr>
        <w:ind w:left="3600" w:hanging="360"/>
      </w:pPr>
    </w:lvl>
    <w:lvl w:ilvl="4" w:tplc="04160019">
      <w:start w:val="1"/>
      <w:numFmt w:val="lowerLetter"/>
      <w:lvlText w:val="%5."/>
      <w:lvlJc w:val="left"/>
      <w:pPr>
        <w:ind w:left="4320" w:hanging="360"/>
      </w:pPr>
    </w:lvl>
    <w:lvl w:ilvl="5" w:tplc="0416001B">
      <w:start w:val="1"/>
      <w:numFmt w:val="lowerRoman"/>
      <w:lvlText w:val="%6."/>
      <w:lvlJc w:val="right"/>
      <w:pPr>
        <w:ind w:left="5040" w:hanging="180"/>
      </w:pPr>
    </w:lvl>
    <w:lvl w:ilvl="6" w:tplc="0416000F">
      <w:start w:val="1"/>
      <w:numFmt w:val="decimal"/>
      <w:lvlText w:val="%7."/>
      <w:lvlJc w:val="left"/>
      <w:pPr>
        <w:ind w:left="5760" w:hanging="360"/>
      </w:pPr>
    </w:lvl>
    <w:lvl w:ilvl="7" w:tplc="04160019">
      <w:start w:val="1"/>
      <w:numFmt w:val="lowerLetter"/>
      <w:lvlText w:val="%8."/>
      <w:lvlJc w:val="left"/>
      <w:pPr>
        <w:ind w:left="6480" w:hanging="360"/>
      </w:pPr>
    </w:lvl>
    <w:lvl w:ilvl="8" w:tplc="0416001B">
      <w:start w:val="1"/>
      <w:numFmt w:val="lowerRoman"/>
      <w:lvlText w:val="%9."/>
      <w:lvlJc w:val="right"/>
      <w:pPr>
        <w:ind w:left="7200" w:hanging="180"/>
      </w:pPr>
    </w:lvl>
  </w:abstractNum>
  <w:abstractNum w:abstractNumId="24">
    <w:nsid w:val="29EF760F"/>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nsid w:val="2AFF2AAE"/>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nsid w:val="2BA33566"/>
    <w:multiLevelType w:val="hybridMultilevel"/>
    <w:tmpl w:val="B4164386"/>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7">
    <w:nsid w:val="2F022CBC"/>
    <w:multiLevelType w:val="multilevel"/>
    <w:tmpl w:val="DD9C5EA0"/>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
    <w:nsid w:val="2FB57C8B"/>
    <w:multiLevelType w:val="multilevel"/>
    <w:tmpl w:val="72B4CD2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29">
    <w:nsid w:val="2FBE477F"/>
    <w:multiLevelType w:val="multilevel"/>
    <w:tmpl w:val="14B006EA"/>
    <w:lvl w:ilvl="0">
      <w:start w:val="1"/>
      <w:numFmt w:val="lowerLetter"/>
      <w:lvlText w:val="%1)"/>
      <w:lvlJc w:val="left"/>
      <w:pPr>
        <w:ind w:left="720" w:hanging="360"/>
      </w:pPr>
    </w:lvl>
    <w:lvl w:ilvl="1">
      <w:start w:val="1"/>
      <w:numFmt w:val="lowerLetter"/>
      <w:pStyle w:val="Recuodecorpodetexto1"/>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33950C22"/>
    <w:multiLevelType w:val="multilevel"/>
    <w:tmpl w:val="6A34B88A"/>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nsid w:val="36355E65"/>
    <w:multiLevelType w:val="multilevel"/>
    <w:tmpl w:val="163C7A4C"/>
    <w:lvl w:ilvl="0">
      <w:start w:val="1"/>
      <w:numFmt w:val="decimal"/>
      <w:lvlText w:val="%1."/>
      <w:lvlJc w:val="left"/>
      <w:pPr>
        <w:ind w:left="390" w:hanging="390"/>
      </w:pPr>
      <w:rPr>
        <w:b/>
      </w:rPr>
    </w:lvl>
    <w:lvl w:ilvl="1">
      <w:start w:val="1"/>
      <w:numFmt w:val="decimal"/>
      <w:lvlText w:val="%1.%2."/>
      <w:lvlJc w:val="left"/>
      <w:pPr>
        <w:ind w:left="390" w:hanging="390"/>
      </w:pPr>
      <w:rPr>
        <w:b w:val="0"/>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32">
    <w:nsid w:val="367F5345"/>
    <w:multiLevelType w:val="multilevel"/>
    <w:tmpl w:val="6F42AEE0"/>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b w:val="0"/>
        <w:sz w:val="22"/>
        <w:szCs w:val="22"/>
      </w:rPr>
    </w:lvl>
    <w:lvl w:ilvl="3">
      <w:start w:val="1"/>
      <w:numFmt w:val="lowerLetter"/>
      <w:lvlText w:val="%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3">
    <w:nsid w:val="3775327A"/>
    <w:multiLevelType w:val="multilevel"/>
    <w:tmpl w:val="4ED6C36A"/>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080"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4">
    <w:nsid w:val="3E2E3B40"/>
    <w:multiLevelType w:val="multilevel"/>
    <w:tmpl w:val="763423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485232E7"/>
    <w:multiLevelType w:val="multilevel"/>
    <w:tmpl w:val="0314909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6">
    <w:nsid w:val="490748FA"/>
    <w:multiLevelType w:val="multilevel"/>
    <w:tmpl w:val="E12843AE"/>
    <w:lvl w:ilvl="0">
      <w:start w:val="1"/>
      <w:numFmt w:val="decimal"/>
      <w:pStyle w:val="NormalCourierNew"/>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080"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7">
    <w:nsid w:val="490924CA"/>
    <w:multiLevelType w:val="multilevel"/>
    <w:tmpl w:val="081A22F2"/>
    <w:lvl w:ilvl="0">
      <w:start w:val="1"/>
      <w:numFmt w:val="bullet"/>
      <w:lvlText w:val="⮚"/>
      <w:lvlJc w:val="left"/>
      <w:pPr>
        <w:ind w:left="720" w:hanging="360"/>
      </w:pPr>
      <w:rPr>
        <w:rFonts w:ascii="Noto Sans Symbols" w:eastAsia="Noto Sans Symbols" w:hAnsi="Noto Sans Symbols" w:cs="Noto Sans Symbols"/>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528D2BCC"/>
    <w:multiLevelType w:val="multilevel"/>
    <w:tmpl w:val="E61EA8C6"/>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9">
    <w:nsid w:val="56D45986"/>
    <w:multiLevelType w:val="hybridMultilevel"/>
    <w:tmpl w:val="85987A1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0">
    <w:nsid w:val="599F6584"/>
    <w:multiLevelType w:val="multilevel"/>
    <w:tmpl w:val="99D4FCA6"/>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upperRoman"/>
      <w:lvlText w:val="%3."/>
      <w:lvlJc w:val="right"/>
      <w:pPr>
        <w:ind w:left="1080" w:hanging="720"/>
      </w:pPr>
      <w:rPr>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1">
    <w:nsid w:val="5B213F9A"/>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2">
    <w:nsid w:val="5B7B5377"/>
    <w:multiLevelType w:val="multilevel"/>
    <w:tmpl w:val="A6DA818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3">
    <w:nsid w:val="5B830D50"/>
    <w:multiLevelType w:val="multilevel"/>
    <w:tmpl w:val="EF146E12"/>
    <w:lvl w:ilvl="0">
      <w:start w:val="10"/>
      <w:numFmt w:val="decimal"/>
      <w:lvlText w:val="%1."/>
      <w:lvlJc w:val="left"/>
      <w:pPr>
        <w:ind w:left="444" w:hanging="444"/>
      </w:pPr>
    </w:lvl>
    <w:lvl w:ilvl="1">
      <w:start w:val="1"/>
      <w:numFmt w:val="decimal"/>
      <w:lvlText w:val="%1.%2."/>
      <w:lvlJc w:val="left"/>
      <w:pPr>
        <w:ind w:left="444" w:hanging="444"/>
      </w:pPr>
    </w:lvl>
    <w:lvl w:ilvl="2">
      <w:start w:val="1"/>
      <w:numFmt w:val="lowerLetter"/>
      <w:lvlText w:val="%3)"/>
      <w:lvlJc w:val="left"/>
      <w:pPr>
        <w:ind w:left="720" w:hanging="720"/>
      </w:pPr>
    </w:lvl>
    <w:lvl w:ilvl="3">
      <w:start w:val="1"/>
      <w:numFmt w:val="decimal"/>
      <w:lvlText w:val="%1.%2.%3.%4."/>
      <w:lvlJc w:val="left"/>
      <w:pPr>
        <w:ind w:left="7525"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nsid w:val="67A74747"/>
    <w:multiLevelType w:val="multilevel"/>
    <w:tmpl w:val="66F2E58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decimal"/>
      <w:lvlText w:val="%1.%2.%3."/>
      <w:lvlJc w:val="left"/>
      <w:pPr>
        <w:ind w:left="1080" w:hanging="720"/>
      </w:pPr>
      <w:rPr>
        <w:sz w:val="22"/>
        <w:szCs w:val="22"/>
      </w:rPr>
    </w:lvl>
    <w:lvl w:ilvl="3">
      <w:start w:val="1"/>
      <w:numFmt w:val="lowerLetter"/>
      <w:lvlText w:val="%4)"/>
      <w:lvlJc w:val="left"/>
      <w:pPr>
        <w:ind w:left="1440" w:hanging="1080"/>
      </w:pPr>
      <w:rPr>
        <w:b/>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5">
    <w:nsid w:val="6B6852E8"/>
    <w:multiLevelType w:val="multilevel"/>
    <w:tmpl w:val="BB542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DB57BE0"/>
    <w:multiLevelType w:val="hybridMultilevel"/>
    <w:tmpl w:val="11706756"/>
    <w:lvl w:ilvl="0" w:tplc="E24AD774">
      <w:start w:val="1"/>
      <w:numFmt w:val="upperRoman"/>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7">
    <w:nsid w:val="71767B24"/>
    <w:multiLevelType w:val="multilevel"/>
    <w:tmpl w:val="D674ACE2"/>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8">
    <w:nsid w:val="72EF0923"/>
    <w:multiLevelType w:val="multilevel"/>
    <w:tmpl w:val="7EECC5A8"/>
    <w:lvl w:ilvl="0">
      <w:start w:val="1"/>
      <w:numFmt w:val="decimal"/>
      <w:lvlText w:val="%1."/>
      <w:lvlJc w:val="left"/>
      <w:pPr>
        <w:ind w:left="720" w:hanging="360"/>
      </w:pPr>
    </w:lvl>
    <w:lvl w:ilvl="1">
      <w:start w:val="1"/>
      <w:numFmt w:val="decimal"/>
      <w:lvlText w:val="%1.%2."/>
      <w:lvlJc w:val="left"/>
      <w:pPr>
        <w:ind w:left="1080" w:hanging="720"/>
      </w:pPr>
      <w:rPr>
        <w:sz w:val="22"/>
        <w:szCs w:val="22"/>
      </w:rPr>
    </w:lvl>
    <w:lvl w:ilvl="2">
      <w:start w:val="1"/>
      <w:numFmt w:val="lowerLetter"/>
      <w:lvlText w:val="%3)"/>
      <w:lvlJc w:val="left"/>
      <w:pPr>
        <w:ind w:left="1855" w:hanging="720"/>
      </w:pPr>
      <w:rPr>
        <w:b/>
        <w:sz w:val="22"/>
        <w:szCs w:val="22"/>
      </w:r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9">
    <w:nsid w:val="754F3A08"/>
    <w:multiLevelType w:val="multilevel"/>
    <w:tmpl w:val="2D2C6F68"/>
    <w:lvl w:ilvl="0">
      <w:start w:val="6"/>
      <w:numFmt w:val="decimal"/>
      <w:lvlText w:val="%1."/>
      <w:lvlJc w:val="left"/>
      <w:pPr>
        <w:ind w:left="360" w:hanging="360"/>
      </w:pPr>
    </w:lvl>
    <w:lvl w:ilvl="1">
      <w:start w:val="4"/>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0">
    <w:nsid w:val="7A4753AB"/>
    <w:multiLevelType w:val="multilevel"/>
    <w:tmpl w:val="1B20F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E9B6582"/>
    <w:multiLevelType w:val="multilevel"/>
    <w:tmpl w:val="E17A9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36"/>
  </w:num>
  <w:num w:numId="3">
    <w:abstractNumId w:val="33"/>
  </w:num>
  <w:num w:numId="4">
    <w:abstractNumId w:val="44"/>
  </w:num>
  <w:num w:numId="5">
    <w:abstractNumId w:val="9"/>
  </w:num>
  <w:num w:numId="6">
    <w:abstractNumId w:val="40"/>
  </w:num>
  <w:num w:numId="7">
    <w:abstractNumId w:val="0"/>
  </w:num>
  <w:num w:numId="8">
    <w:abstractNumId w:val="19"/>
  </w:num>
  <w:num w:numId="9">
    <w:abstractNumId w:val="12"/>
  </w:num>
  <w:num w:numId="10">
    <w:abstractNumId w:val="32"/>
  </w:num>
  <w:num w:numId="11">
    <w:abstractNumId w:val="22"/>
  </w:num>
  <w:num w:numId="12">
    <w:abstractNumId w:val="28"/>
  </w:num>
  <w:num w:numId="13">
    <w:abstractNumId w:val="48"/>
  </w:num>
  <w:num w:numId="14">
    <w:abstractNumId w:val="18"/>
  </w:num>
  <w:num w:numId="15">
    <w:abstractNumId w:val="38"/>
  </w:num>
  <w:num w:numId="16">
    <w:abstractNumId w:val="47"/>
  </w:num>
  <w:num w:numId="17">
    <w:abstractNumId w:val="1"/>
  </w:num>
  <w:num w:numId="18">
    <w:abstractNumId w:val="5"/>
  </w:num>
  <w:num w:numId="19">
    <w:abstractNumId w:val="8"/>
  </w:num>
  <w:num w:numId="20">
    <w:abstractNumId w:val="35"/>
  </w:num>
  <w:num w:numId="21">
    <w:abstractNumId w:val="43"/>
  </w:num>
  <w:num w:numId="22">
    <w:abstractNumId w:val="30"/>
  </w:num>
  <w:num w:numId="23">
    <w:abstractNumId w:val="7"/>
  </w:num>
  <w:num w:numId="24">
    <w:abstractNumId w:val="15"/>
  </w:num>
  <w:num w:numId="25">
    <w:abstractNumId w:val="31"/>
  </w:num>
  <w:num w:numId="26">
    <w:abstractNumId w:val="34"/>
  </w:num>
  <w:num w:numId="27">
    <w:abstractNumId w:val="49"/>
  </w:num>
  <w:num w:numId="28">
    <w:abstractNumId w:val="37"/>
  </w:num>
  <w:num w:numId="29">
    <w:abstractNumId w:val="2"/>
  </w:num>
  <w:num w:numId="30">
    <w:abstractNumId w:val="27"/>
  </w:num>
  <w:num w:numId="31">
    <w:abstractNumId w:val="16"/>
  </w:num>
  <w:num w:numId="32">
    <w:abstractNumId w:val="46"/>
  </w:num>
  <w:num w:numId="33">
    <w:abstractNumId w:val="6"/>
  </w:num>
  <w:num w:numId="34">
    <w:abstractNumId w:val="23"/>
  </w:num>
  <w:num w:numId="35">
    <w:abstractNumId w:val="11"/>
  </w:num>
  <w:num w:numId="36">
    <w:abstractNumId w:val="21"/>
  </w:num>
  <w:num w:numId="37">
    <w:abstractNumId w:val="14"/>
  </w:num>
  <w:num w:numId="38">
    <w:abstractNumId w:val="41"/>
  </w:num>
  <w:num w:numId="39">
    <w:abstractNumId w:val="42"/>
  </w:num>
  <w:num w:numId="40">
    <w:abstractNumId w:val="24"/>
  </w:num>
  <w:num w:numId="41">
    <w:abstractNumId w:val="25"/>
  </w:num>
  <w:num w:numId="42">
    <w:abstractNumId w:val="39"/>
  </w:num>
  <w:num w:numId="43">
    <w:abstractNumId w:val="13"/>
  </w:num>
  <w:num w:numId="44">
    <w:abstractNumId w:val="20"/>
  </w:num>
  <w:num w:numId="45">
    <w:abstractNumId w:val="50"/>
  </w:num>
  <w:num w:numId="46">
    <w:abstractNumId w:val="51"/>
  </w:num>
  <w:num w:numId="47">
    <w:abstractNumId w:val="45"/>
  </w:num>
  <w:num w:numId="48">
    <w:abstractNumId w:val="4"/>
  </w:num>
  <w:num w:numId="49">
    <w:abstractNumId w:val="3"/>
  </w:num>
  <w:num w:numId="50">
    <w:abstractNumId w:val="17"/>
  </w:num>
  <w:num w:numId="51">
    <w:abstractNumId w:val="26"/>
  </w:num>
  <w:num w:numId="52">
    <w:abstractNumId w:val="1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2C41193-BB94-42E7-9B33-7FA8639DC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cs="Times New Roman"/>
    </w:rPr>
  </w:style>
  <w:style w:type="paragraph" w:styleId="Ttulo1">
    <w:name w:val="heading 1"/>
    <w:basedOn w:val="PargrafodaLista"/>
    <w:next w:val="Normal"/>
    <w:link w:val="Ttulo1Char"/>
    <w:uiPriority w:val="9"/>
    <w:qFormat/>
    <w:pPr>
      <w:numPr>
        <w:numId w:val="8"/>
      </w:numPr>
      <w:tabs>
        <w:tab w:val="left" w:pos="284"/>
      </w:tabs>
      <w:jc w:val="both"/>
      <w:outlineLvl w:val="0"/>
    </w:pPr>
    <w:rPr>
      <w:rFonts w:ascii="Arial" w:hAnsi="Arial" w:cs="Arial"/>
      <w:b/>
      <w:bCs/>
      <w:sz w:val="22"/>
      <w:szCs w:val="22"/>
    </w:rPr>
  </w:style>
  <w:style w:type="paragraph" w:styleId="Ttulo2">
    <w:name w:val="heading 2"/>
    <w:basedOn w:val="Normal"/>
    <w:next w:val="Normal"/>
    <w:link w:val="Ttulo2Char"/>
    <w:uiPriority w:val="9"/>
    <w:semiHidden/>
    <w:unhideWhenUsed/>
    <w:qFormat/>
    <w:pPr>
      <w:keepNext/>
      <w:jc w:val="right"/>
      <w:outlineLvl w:val="1"/>
    </w:pPr>
    <w:rPr>
      <w:rFonts w:ascii="Times New Roman" w:eastAsia="Times New Roman" w:hAnsi="Times New Roman"/>
      <w:color w:val="000000"/>
      <w:sz w:val="24"/>
      <w:szCs w:val="20"/>
    </w:rPr>
  </w:style>
  <w:style w:type="paragraph" w:styleId="Ttulo3">
    <w:name w:val="heading 3"/>
    <w:basedOn w:val="Normal"/>
    <w:next w:val="Normal"/>
    <w:link w:val="Ttulo3Char"/>
    <w:uiPriority w:val="9"/>
    <w:semiHidden/>
    <w:unhideWhenUsed/>
    <w:qFormat/>
    <w:pPr>
      <w:keepNext/>
      <w:jc w:val="center"/>
      <w:outlineLvl w:val="2"/>
    </w:pPr>
    <w:rPr>
      <w:rFonts w:ascii="Arial Narrow" w:eastAsia="Times New Roman" w:hAnsi="Arial Narrow"/>
      <w:i/>
      <w:color w:val="000000"/>
      <w:sz w:val="38"/>
      <w:szCs w:val="20"/>
    </w:rPr>
  </w:style>
  <w:style w:type="paragraph" w:styleId="Ttulo4">
    <w:name w:val="heading 4"/>
    <w:basedOn w:val="Normal"/>
    <w:next w:val="Normal"/>
    <w:link w:val="Ttulo4Char"/>
    <w:uiPriority w:val="9"/>
    <w:semiHidden/>
    <w:unhideWhenUsed/>
    <w:qFormat/>
    <w:pPr>
      <w:keepNext/>
      <w:jc w:val="both"/>
      <w:outlineLvl w:val="3"/>
    </w:pPr>
    <w:rPr>
      <w:rFonts w:ascii="Times New Roman" w:eastAsia="Times New Roman" w:hAnsi="Times New Roman"/>
      <w:color w:val="000000"/>
      <w:sz w:val="24"/>
      <w:szCs w:val="20"/>
    </w:rPr>
  </w:style>
  <w:style w:type="paragraph" w:styleId="Ttulo5">
    <w:name w:val="heading 5"/>
    <w:basedOn w:val="Normal"/>
    <w:next w:val="Normal"/>
    <w:link w:val="Ttulo5Char"/>
    <w:uiPriority w:val="9"/>
    <w:semiHidden/>
    <w:unhideWhenUsed/>
    <w:qFormat/>
    <w:pPr>
      <w:keepNext/>
      <w:jc w:val="both"/>
      <w:outlineLvl w:val="4"/>
    </w:pPr>
    <w:rPr>
      <w:rFonts w:ascii="Times New Roman" w:eastAsia="Times New Roman" w:hAnsi="Times New Roman"/>
      <w:b/>
      <w:color w:val="000000"/>
      <w:sz w:val="24"/>
      <w:szCs w:val="20"/>
    </w:rPr>
  </w:style>
  <w:style w:type="paragraph" w:styleId="Ttulo6">
    <w:name w:val="heading 6"/>
    <w:basedOn w:val="Normal"/>
    <w:next w:val="Normal"/>
    <w:link w:val="Ttulo6Char"/>
    <w:uiPriority w:val="9"/>
    <w:semiHidden/>
    <w:unhideWhenUsed/>
    <w:qFormat/>
    <w:pPr>
      <w:keepNext/>
      <w:jc w:val="center"/>
      <w:outlineLvl w:val="5"/>
    </w:pPr>
    <w:rPr>
      <w:rFonts w:ascii="Arial Narrow" w:eastAsia="Times New Roman" w:hAnsi="Arial Narrow"/>
      <w:i/>
      <w:sz w:val="38"/>
      <w:szCs w:val="20"/>
    </w:rPr>
  </w:style>
  <w:style w:type="paragraph" w:styleId="Ttulo7">
    <w:name w:val="heading 7"/>
    <w:basedOn w:val="Normal"/>
    <w:next w:val="Normal"/>
    <w:link w:val="Ttulo7Char"/>
    <w:uiPriority w:val="9"/>
    <w:qFormat/>
    <w:pPr>
      <w:keepNext/>
      <w:jc w:val="center"/>
      <w:outlineLvl w:val="6"/>
    </w:pPr>
    <w:rPr>
      <w:rFonts w:ascii="Arial Rounded MT Bold" w:eastAsia="Times New Roman" w:hAnsi="Arial Rounded MT Bold"/>
      <w:b/>
      <w:sz w:val="28"/>
      <w:szCs w:val="20"/>
    </w:rPr>
  </w:style>
  <w:style w:type="paragraph" w:styleId="Ttulo8">
    <w:name w:val="heading 8"/>
    <w:basedOn w:val="Normal"/>
    <w:next w:val="Normal"/>
    <w:link w:val="Ttulo8Char"/>
    <w:uiPriority w:val="9"/>
    <w:qFormat/>
    <w:pPr>
      <w:keepNext/>
      <w:outlineLvl w:val="7"/>
    </w:pPr>
    <w:rPr>
      <w:rFonts w:ascii="Times New Roman" w:eastAsia="Times New Roman" w:hAnsi="Times New Roman"/>
      <w:sz w:val="24"/>
      <w:szCs w:val="20"/>
    </w:rPr>
  </w:style>
  <w:style w:type="paragraph" w:styleId="Ttulo9">
    <w:name w:val="heading 9"/>
    <w:basedOn w:val="Normal"/>
    <w:next w:val="Normal"/>
    <w:link w:val="Ttulo9Char"/>
    <w:uiPriority w:val="9"/>
    <w:qFormat/>
    <w:pPr>
      <w:keepNext/>
      <w:jc w:val="center"/>
      <w:outlineLvl w:val="8"/>
    </w:pPr>
    <w:rPr>
      <w:rFonts w:ascii="Times New Roman" w:eastAsia="Times New Roman" w:hAnsi="Times New Roman"/>
      <w:b/>
      <w:color w:val="000000"/>
      <w:sz w:val="3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har"/>
    <w:uiPriority w:val="10"/>
    <w:qFormat/>
    <w:pPr>
      <w:jc w:val="center"/>
    </w:pPr>
    <w:rPr>
      <w:rFonts w:ascii="Bookman Old Style" w:eastAsia="Times New Roman" w:hAnsi="Bookman Old Style"/>
      <w:b/>
      <w:color w:val="000000"/>
      <w:sz w:val="30"/>
      <w:szCs w:val="20"/>
    </w:rPr>
  </w:style>
  <w:style w:type="character" w:customStyle="1" w:styleId="Ttulo1Char">
    <w:name w:val="Título 1 Char"/>
    <w:basedOn w:val="Fontepargpadro"/>
    <w:link w:val="Ttulo1"/>
    <w:uiPriority w:val="9"/>
    <w:rPr>
      <w:rFonts w:ascii="Arial" w:eastAsia="Times New Roman" w:hAnsi="Arial" w:cs="Arial"/>
      <w:b/>
      <w:bCs/>
      <w:lang w:eastAsia="ar-SA"/>
    </w:rPr>
  </w:style>
  <w:style w:type="character" w:customStyle="1" w:styleId="Ttulo2Char">
    <w:name w:val="Título 2 Char"/>
    <w:basedOn w:val="Fontepargpadro"/>
    <w:link w:val="Ttulo2"/>
    <w:uiPriority w:val="9"/>
    <w:rPr>
      <w:rFonts w:ascii="Times New Roman" w:eastAsia="Times New Roman" w:hAnsi="Times New Roman" w:cs="Times New Roman"/>
      <w:color w:val="000000"/>
      <w:sz w:val="24"/>
      <w:szCs w:val="20"/>
    </w:rPr>
  </w:style>
  <w:style w:type="character" w:customStyle="1" w:styleId="Ttulo3Char">
    <w:name w:val="Título 3 Char"/>
    <w:basedOn w:val="Fontepargpadro"/>
    <w:link w:val="Ttulo3"/>
    <w:uiPriority w:val="9"/>
    <w:rPr>
      <w:rFonts w:ascii="Arial Narrow" w:eastAsia="Times New Roman" w:hAnsi="Arial Narrow" w:cs="Times New Roman"/>
      <w:i/>
      <w:color w:val="000000"/>
      <w:sz w:val="38"/>
      <w:szCs w:val="20"/>
    </w:rPr>
  </w:style>
  <w:style w:type="character" w:customStyle="1" w:styleId="Ttulo4Char">
    <w:name w:val="Título 4 Char"/>
    <w:basedOn w:val="Fontepargpadro"/>
    <w:link w:val="Ttulo4"/>
    <w:uiPriority w:val="9"/>
    <w:rPr>
      <w:rFonts w:ascii="Times New Roman" w:eastAsia="Times New Roman" w:hAnsi="Times New Roman" w:cs="Times New Roman"/>
      <w:color w:val="000000"/>
      <w:sz w:val="24"/>
      <w:szCs w:val="20"/>
    </w:rPr>
  </w:style>
  <w:style w:type="character" w:customStyle="1" w:styleId="Ttulo5Char">
    <w:name w:val="Título 5 Char"/>
    <w:basedOn w:val="Fontepargpadro"/>
    <w:link w:val="Ttulo5"/>
    <w:uiPriority w:val="9"/>
    <w:rPr>
      <w:rFonts w:ascii="Times New Roman" w:eastAsia="Times New Roman" w:hAnsi="Times New Roman" w:cs="Times New Roman"/>
      <w:b/>
      <w:color w:val="000000"/>
      <w:sz w:val="24"/>
      <w:szCs w:val="20"/>
    </w:rPr>
  </w:style>
  <w:style w:type="character" w:customStyle="1" w:styleId="Ttulo6Char">
    <w:name w:val="Título 6 Char"/>
    <w:basedOn w:val="Fontepargpadro"/>
    <w:link w:val="Ttulo6"/>
    <w:rPr>
      <w:rFonts w:ascii="Arial Narrow" w:eastAsia="Times New Roman" w:hAnsi="Arial Narrow" w:cs="Times New Roman"/>
      <w:i/>
      <w:sz w:val="38"/>
      <w:szCs w:val="20"/>
    </w:rPr>
  </w:style>
  <w:style w:type="character" w:customStyle="1" w:styleId="Ttulo7Char">
    <w:name w:val="Título 7 Char"/>
    <w:basedOn w:val="Fontepargpadro"/>
    <w:link w:val="Ttulo7"/>
    <w:uiPriority w:val="9"/>
    <w:rPr>
      <w:rFonts w:ascii="Arial Rounded MT Bold" w:eastAsia="Times New Roman" w:hAnsi="Arial Rounded MT Bold" w:cs="Times New Roman"/>
      <w:b/>
      <w:sz w:val="28"/>
      <w:szCs w:val="20"/>
    </w:rPr>
  </w:style>
  <w:style w:type="character" w:customStyle="1" w:styleId="Ttulo8Char">
    <w:name w:val="Título 8 Char"/>
    <w:basedOn w:val="Fontepargpadro"/>
    <w:link w:val="Ttulo8"/>
    <w:uiPriority w:val="9"/>
    <w:rPr>
      <w:rFonts w:ascii="Times New Roman" w:eastAsia="Times New Roman" w:hAnsi="Times New Roman" w:cs="Times New Roman"/>
      <w:sz w:val="24"/>
      <w:szCs w:val="20"/>
    </w:rPr>
  </w:style>
  <w:style w:type="character" w:customStyle="1" w:styleId="Ttulo9Char">
    <w:name w:val="Título 9 Char"/>
    <w:basedOn w:val="Fontepargpadro"/>
    <w:link w:val="Ttulo9"/>
    <w:uiPriority w:val="9"/>
    <w:rPr>
      <w:rFonts w:ascii="Times New Roman" w:eastAsia="Times New Roman" w:hAnsi="Times New Roman" w:cs="Times New Roman"/>
      <w:b/>
      <w:color w:val="000000"/>
      <w:sz w:val="32"/>
      <w:szCs w:val="20"/>
    </w:rPr>
  </w:style>
  <w:style w:type="paragraph" w:styleId="Cabealho">
    <w:name w:val="header"/>
    <w:aliases w:val="encabezado,hd,he,Char, Char,Ofício Circular,Cabeçalho superior,Heading 1a,h,HeaderNN,Header Char"/>
    <w:basedOn w:val="Normal"/>
    <w:link w:val="CabealhoChar"/>
    <w:uiPriority w:val="99"/>
    <w:pPr>
      <w:tabs>
        <w:tab w:val="center" w:pos="4419"/>
        <w:tab w:val="right" w:pos="8838"/>
      </w:tabs>
    </w:pPr>
    <w:rPr>
      <w:rFonts w:ascii="Times New Roman" w:eastAsia="Times New Roman" w:hAnsi="Times New Roman"/>
      <w:sz w:val="24"/>
      <w:szCs w:val="20"/>
    </w:rPr>
  </w:style>
  <w:style w:type="character" w:customStyle="1" w:styleId="CabealhoChar">
    <w:name w:val="Cabeçalho Char"/>
    <w:aliases w:val="encabezado Char,hd Char,he Char,Char Char, Char Char,Ofício Circular Char,Cabeçalho superior Char,Heading 1a Char,h Char,HeaderNN Char,Header Char Char"/>
    <w:basedOn w:val="Fontepargpadro"/>
    <w:link w:val="Cabealho"/>
    <w:uiPriority w:val="99"/>
    <w:qFormat/>
    <w:rPr>
      <w:rFonts w:ascii="Times New Roman" w:eastAsia="Times New Roman" w:hAnsi="Times New Roman" w:cs="Times New Roman"/>
      <w:sz w:val="24"/>
      <w:szCs w:val="20"/>
    </w:rPr>
  </w:style>
  <w:style w:type="paragraph" w:styleId="Rodap">
    <w:name w:val="footer"/>
    <w:basedOn w:val="Normal"/>
    <w:link w:val="RodapChar"/>
    <w:uiPriority w:val="99"/>
    <w:pPr>
      <w:tabs>
        <w:tab w:val="center" w:pos="4419"/>
        <w:tab w:val="right" w:pos="8838"/>
      </w:tabs>
    </w:pPr>
    <w:rPr>
      <w:rFonts w:ascii="Times New Roman" w:eastAsia="Times New Roman" w:hAnsi="Times New Roman"/>
      <w:sz w:val="24"/>
      <w:szCs w:val="20"/>
    </w:rPr>
  </w:style>
  <w:style w:type="character" w:customStyle="1" w:styleId="RodapChar">
    <w:name w:val="Rodapé Char"/>
    <w:basedOn w:val="Fontepargpadro"/>
    <w:link w:val="Rodap"/>
    <w:uiPriority w:val="99"/>
    <w:rPr>
      <w:rFonts w:ascii="Times New Roman" w:eastAsia="Times New Roman" w:hAnsi="Times New Roman" w:cs="Times New Roman"/>
      <w:sz w:val="24"/>
      <w:szCs w:val="20"/>
    </w:rPr>
  </w:style>
  <w:style w:type="paragraph" w:styleId="Corpodetexto2">
    <w:name w:val="Body Text 2"/>
    <w:basedOn w:val="Normal"/>
    <w:link w:val="Corpodetexto2Char"/>
    <w:pPr>
      <w:jc w:val="both"/>
    </w:pPr>
    <w:rPr>
      <w:rFonts w:ascii="Times New Roman" w:eastAsia="Times New Roman" w:hAnsi="Times New Roman"/>
      <w:sz w:val="28"/>
      <w:szCs w:val="20"/>
    </w:rPr>
  </w:style>
  <w:style w:type="character" w:customStyle="1" w:styleId="Corpodetexto2Char">
    <w:name w:val="Corpo de texto 2 Char"/>
    <w:basedOn w:val="Fontepargpadro"/>
    <w:link w:val="Corpodetexto2"/>
    <w:rPr>
      <w:rFonts w:ascii="Times New Roman" w:eastAsia="Times New Roman" w:hAnsi="Times New Roman" w:cs="Times New Roman"/>
      <w:sz w:val="28"/>
      <w:szCs w:val="20"/>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ind w:firstLine="1985"/>
      <w:jc w:val="both"/>
    </w:pPr>
    <w:rPr>
      <w:rFonts w:ascii="Arial" w:eastAsia="Times New Roman" w:hAnsi="Arial"/>
      <w:spacing w:val="-3"/>
      <w:sz w:val="24"/>
      <w:szCs w:val="20"/>
    </w:rPr>
  </w:style>
  <w:style w:type="character" w:customStyle="1" w:styleId="RecuodecorpodetextoChar">
    <w:name w:val="Recuo de corpo de texto Char"/>
    <w:basedOn w:val="Fontepargpadro"/>
    <w:link w:val="Recuodecorpodetexto"/>
    <w:rPr>
      <w:rFonts w:ascii="Arial" w:eastAsia="Times New Roman" w:hAnsi="Arial" w:cs="Times New Roman"/>
      <w:spacing w:val="-3"/>
      <w:sz w:val="24"/>
      <w:szCs w:val="20"/>
    </w:rPr>
  </w:style>
  <w:style w:type="paragraph" w:styleId="Recuodecorpodetexto3">
    <w:name w:val="Body Text Indent 3"/>
    <w:basedOn w:val="Normal"/>
    <w:link w:val="Recuodecorpodetexto3Char"/>
    <w:pPr>
      <w:ind w:left="1985"/>
      <w:jc w:val="both"/>
    </w:pPr>
    <w:rPr>
      <w:rFonts w:ascii="Arial" w:eastAsia="Times New Roman" w:hAnsi="Arial"/>
      <w:szCs w:val="20"/>
    </w:rPr>
  </w:style>
  <w:style w:type="character" w:customStyle="1" w:styleId="Recuodecorpodetexto3Char">
    <w:name w:val="Recuo de corpo de texto 3 Char"/>
    <w:basedOn w:val="Fontepargpadro"/>
    <w:link w:val="Recuodecorpodetexto3"/>
    <w:rPr>
      <w:rFonts w:ascii="Arial" w:eastAsia="Times New Roman" w:hAnsi="Arial" w:cs="Times New Roman"/>
      <w:szCs w:val="20"/>
    </w:rPr>
  </w:style>
  <w:style w:type="paragraph" w:styleId="Recuodecorpodetexto2">
    <w:name w:val="Body Text Indent 2"/>
    <w:basedOn w:val="Normal"/>
    <w:link w:val="Recuodecorpodetexto2Char"/>
    <w:pPr>
      <w:ind w:firstLine="1985"/>
      <w:jc w:val="both"/>
    </w:pPr>
    <w:rPr>
      <w:rFonts w:ascii="Arial" w:eastAsia="Times New Roman" w:hAnsi="Arial"/>
      <w:color w:val="000000"/>
      <w:sz w:val="20"/>
      <w:szCs w:val="20"/>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sz w:val="20"/>
      <w:szCs w:val="20"/>
    </w:rPr>
  </w:style>
  <w:style w:type="paragraph" w:styleId="Corpodetexto">
    <w:name w:val="Body Text"/>
    <w:basedOn w:val="Normal"/>
    <w:link w:val="CorpodetextoChar"/>
    <w:qFormat/>
    <w:pPr>
      <w:jc w:val="both"/>
    </w:pPr>
    <w:rPr>
      <w:rFonts w:ascii="Arial" w:eastAsia="Times New Roman" w:hAnsi="Arial"/>
      <w:szCs w:val="20"/>
    </w:rPr>
  </w:style>
  <w:style w:type="character" w:customStyle="1" w:styleId="CorpodetextoChar">
    <w:name w:val="Corpo de texto Char"/>
    <w:basedOn w:val="Fontepargpadro"/>
    <w:link w:val="Corpodetexto"/>
    <w:rPr>
      <w:rFonts w:ascii="Arial" w:eastAsia="Times New Roman" w:hAnsi="Arial" w:cs="Times New Roman"/>
      <w:szCs w:val="20"/>
    </w:rPr>
  </w:style>
  <w:style w:type="paragraph" w:styleId="Corpodetexto3">
    <w:name w:val="Body Text 3"/>
    <w:basedOn w:val="Normal"/>
    <w:link w:val="Corpodetexto3Char"/>
    <w:rPr>
      <w:rFonts w:ascii="Times New Roman" w:eastAsia="Times New Roman" w:hAnsi="Times New Roman"/>
      <w:sz w:val="24"/>
      <w:szCs w:val="20"/>
    </w:rPr>
  </w:style>
  <w:style w:type="character" w:customStyle="1" w:styleId="Corpodetexto3Char">
    <w:name w:val="Corpo de texto 3 Char"/>
    <w:basedOn w:val="Fontepargpadro"/>
    <w:link w:val="Corpodetexto3"/>
    <w:rPr>
      <w:rFonts w:ascii="Times New Roman" w:eastAsia="Times New Roman" w:hAnsi="Times New Roman" w:cs="Times New Roman"/>
      <w:sz w:val="24"/>
      <w:szCs w:val="20"/>
    </w:rPr>
  </w:style>
  <w:style w:type="paragraph" w:customStyle="1" w:styleId="Corpodetexto21">
    <w:name w:val="Corpo de texto 21"/>
    <w:basedOn w:val="Normal"/>
    <w:pPr>
      <w:ind w:firstLine="851"/>
      <w:jc w:val="both"/>
    </w:pPr>
    <w:rPr>
      <w:rFonts w:ascii="Arial" w:eastAsia="Times New Roman" w:hAnsi="Arial"/>
      <w:szCs w:val="20"/>
    </w:rPr>
  </w:style>
  <w:style w:type="character" w:customStyle="1" w:styleId="TtuloChar">
    <w:name w:val="Título Char"/>
    <w:basedOn w:val="Fontepargpadro"/>
    <w:link w:val="Ttulo"/>
    <w:uiPriority w:val="99"/>
    <w:rPr>
      <w:rFonts w:ascii="Bookman Old Style" w:eastAsia="Times New Roman" w:hAnsi="Bookman Old Style" w:cs="Times New Roman"/>
      <w:b/>
      <w:color w:val="000000"/>
      <w:sz w:val="30"/>
      <w:szCs w:val="20"/>
    </w:rPr>
  </w:style>
  <w:style w:type="character" w:styleId="Nmerodepgina">
    <w:name w:val="page number"/>
  </w:style>
  <w:style w:type="paragraph" w:customStyle="1" w:styleId="BodyText22">
    <w:name w:val="Body Text 22"/>
    <w:basedOn w:val="Normal"/>
    <w:pPr>
      <w:jc w:val="both"/>
    </w:pPr>
    <w:rPr>
      <w:rFonts w:ascii="Bookman Old Style" w:eastAsia="Times New Roman" w:hAnsi="Bookman Old Style"/>
      <w:color w:val="000000"/>
      <w:sz w:val="28"/>
      <w:szCs w:val="20"/>
    </w:rPr>
  </w:style>
  <w:style w:type="paragraph" w:styleId="Textoembloco">
    <w:name w:val="Block Text"/>
    <w:basedOn w:val="Normal"/>
    <w:uiPriority w:val="99"/>
    <w:pPr>
      <w:ind w:left="1701" w:right="3170"/>
      <w:jc w:val="both"/>
    </w:pPr>
    <w:rPr>
      <w:rFonts w:ascii="Times New Roman" w:eastAsia="Times New Roman" w:hAnsi="Times New Roman"/>
      <w:sz w:val="24"/>
      <w:szCs w:val="20"/>
    </w:rPr>
  </w:style>
  <w:style w:type="paragraph" w:customStyle="1" w:styleId="WW-Corpodetexto3">
    <w:name w:val="WW-Corpo de texto 3"/>
    <w:basedOn w:val="Normal"/>
    <w:pPr>
      <w:suppressAutoHyphens/>
      <w:spacing w:after="120"/>
    </w:pPr>
    <w:rPr>
      <w:rFonts w:ascii="Times New Roman" w:eastAsia="Times New Roman" w:hAnsi="Times New Roman"/>
      <w:sz w:val="16"/>
      <w:szCs w:val="16"/>
      <w:lang w:eastAsia="ar-SA"/>
    </w:rPr>
  </w:style>
  <w:style w:type="paragraph" w:customStyle="1" w:styleId="WW-Recuodecorpodetexto2">
    <w:name w:val="WW-Recuo de corpo de texto 2"/>
    <w:basedOn w:val="Normal"/>
    <w:pPr>
      <w:suppressAutoHyphens/>
      <w:ind w:left="2552" w:hanging="567"/>
      <w:jc w:val="both"/>
    </w:pPr>
    <w:rPr>
      <w:rFonts w:ascii="Times New Roman" w:eastAsia="Times New Roman" w:hAnsi="Times New Roman"/>
      <w:sz w:val="24"/>
      <w:szCs w:val="20"/>
      <w:lang w:eastAsia="ar-SA"/>
    </w:rPr>
  </w:style>
  <w:style w:type="paragraph" w:customStyle="1" w:styleId="WW-Recuodecorpodetexto21">
    <w:name w:val="WW-Recuo de corpo de texto 21"/>
    <w:basedOn w:val="Normal"/>
    <w:pPr>
      <w:suppressAutoHyphens/>
      <w:ind w:firstLine="1418"/>
      <w:jc w:val="both"/>
    </w:pPr>
    <w:rPr>
      <w:rFonts w:ascii="Arial" w:eastAsia="Times New Roman" w:hAnsi="Arial"/>
      <w:sz w:val="24"/>
      <w:szCs w:val="20"/>
      <w:lang w:eastAsia="ar-SA"/>
    </w:rPr>
  </w:style>
  <w:style w:type="paragraph" w:customStyle="1" w:styleId="parag-1">
    <w:name w:val="parag-1"/>
    <w:basedOn w:val="Normal"/>
    <w:pPr>
      <w:suppressAutoHyphens/>
      <w:jc w:val="both"/>
    </w:pPr>
    <w:rPr>
      <w:rFonts w:ascii="Times New Roman" w:eastAsia="Times New Roman" w:hAnsi="Times New Roman"/>
      <w:sz w:val="24"/>
      <w:szCs w:val="20"/>
      <w:lang w:eastAsia="ar-SA"/>
    </w:rPr>
  </w:style>
  <w:style w:type="paragraph" w:customStyle="1" w:styleId="WW-Recuodecorpodetexto3">
    <w:name w:val="WW-Recuo de corpo de texto 3"/>
    <w:basedOn w:val="Normal"/>
    <w:pPr>
      <w:suppressAutoHyphens/>
      <w:ind w:left="1418"/>
      <w:jc w:val="both"/>
    </w:pPr>
    <w:rPr>
      <w:rFonts w:ascii="Times New Roman" w:eastAsia="Times New Roman" w:hAnsi="Times New Roman"/>
      <w:sz w:val="24"/>
      <w:szCs w:val="20"/>
      <w:lang w:eastAsia="ar-SA"/>
    </w:rPr>
  </w:style>
  <w:style w:type="paragraph" w:customStyle="1" w:styleId="WW-Textoembloco">
    <w:name w:val="WW-Texto em bloco"/>
    <w:basedOn w:val="Normal"/>
    <w:pPr>
      <w:suppressAutoHyphens/>
      <w:ind w:left="1701" w:right="3170"/>
      <w:jc w:val="both"/>
    </w:pPr>
    <w:rPr>
      <w:rFonts w:ascii="Times New Roman" w:eastAsia="Times New Roman" w:hAnsi="Times New Roman"/>
      <w:sz w:val="24"/>
      <w:szCs w:val="20"/>
      <w:lang w:eastAsia="ar-SA"/>
    </w:rPr>
  </w:style>
  <w:style w:type="paragraph" w:customStyle="1" w:styleId="WW-Corpodetexto2">
    <w:name w:val="WW-Corpo de texto 2"/>
    <w:basedOn w:val="Normal"/>
    <w:uiPriority w:val="99"/>
    <w:pPr>
      <w:tabs>
        <w:tab w:val="left" w:leader="underscore" w:pos="8789"/>
      </w:tabs>
      <w:suppressAutoHyphens/>
      <w:jc w:val="both"/>
    </w:pPr>
    <w:rPr>
      <w:rFonts w:ascii="Times New Roman" w:eastAsia="Times New Roman" w:hAnsi="Times New Roman"/>
      <w:sz w:val="24"/>
      <w:szCs w:val="20"/>
      <w:lang w:eastAsia="ar-SA"/>
    </w:rPr>
  </w:style>
  <w:style w:type="paragraph" w:customStyle="1" w:styleId="Contedodatabela">
    <w:name w:val="Conteúdo da tabela"/>
    <w:basedOn w:val="Normal"/>
    <w:pPr>
      <w:suppressLineNumbers/>
      <w:suppressAutoHyphens/>
    </w:pPr>
    <w:rPr>
      <w:rFonts w:ascii="Times New Roman" w:eastAsia="Times New Roman" w:hAnsi="Times New Roman"/>
      <w:sz w:val="20"/>
      <w:szCs w:val="20"/>
      <w:lang w:eastAsia="ar-SA"/>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paragraph" w:styleId="NormalWeb">
    <w:name w:val="Normal (Web)"/>
    <w:basedOn w:val="Normal"/>
    <w:uiPriority w:val="99"/>
    <w:unhideWhenUsed/>
    <w:pPr>
      <w:spacing w:before="100" w:beforeAutospacing="1" w:after="100" w:afterAutospacing="1"/>
    </w:pPr>
    <w:rPr>
      <w:rFonts w:ascii="Times New Roman" w:eastAsia="Times New Roman" w:hAnsi="Times New Roman"/>
      <w:sz w:val="24"/>
      <w:szCs w:val="24"/>
    </w:rPr>
  </w:style>
  <w:style w:type="paragraph" w:styleId="PargrafodaLista">
    <w:name w:val="List Paragraph"/>
    <w:basedOn w:val="Normal"/>
    <w:link w:val="PargrafodaListaChar"/>
    <w:uiPriority w:val="34"/>
    <w:qFormat/>
    <w:pPr>
      <w:suppressAutoHyphens/>
      <w:ind w:left="720"/>
      <w:contextualSpacing/>
    </w:pPr>
    <w:rPr>
      <w:rFonts w:ascii="Times New Roman" w:eastAsia="Times New Roman" w:hAnsi="Times New Roman"/>
      <w:sz w:val="20"/>
      <w:szCs w:val="20"/>
      <w:lang w:eastAsia="ar-SA"/>
    </w:rPr>
  </w:style>
  <w:style w:type="character" w:customStyle="1" w:styleId="WW8Num49z0">
    <w:name w:val="WW8Num49z0"/>
    <w:rPr>
      <w:rFonts w:ascii="Times New Roman" w:hAnsi="Times New Roman"/>
    </w:rPr>
  </w:style>
  <w:style w:type="character" w:styleId="Hyperlink">
    <w:name w:val="Hyperlink"/>
    <w:uiPriority w:val="99"/>
    <w:rPr>
      <w:rFonts w:cs="Times New Roman"/>
      <w:color w:val="990000"/>
      <w:u w:val="single"/>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Tahoma" w:eastAsia="Calibri" w:hAnsi="Tahoma" w:cs="Tahoma"/>
      <w:sz w:val="16"/>
      <w:szCs w:val="16"/>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sz w:val="20"/>
      <w:szCs w:val="20"/>
    </w:rPr>
  </w:style>
  <w:style w:type="paragraph" w:customStyle="1" w:styleId="Recuodecorpodetexto1">
    <w:name w:val="Recuo de corpo de texto1"/>
    <w:basedOn w:val="Normal"/>
    <w:link w:val="BodyTextIndentChar"/>
    <w:pPr>
      <w:numPr>
        <w:ilvl w:val="1"/>
        <w:numId w:val="1"/>
      </w:numPr>
      <w:spacing w:after="120" w:line="276" w:lineRule="auto"/>
      <w:ind w:left="283" w:firstLine="0"/>
    </w:pPr>
    <w:rPr>
      <w:rFonts w:eastAsia="Times New Roman"/>
    </w:rPr>
  </w:style>
  <w:style w:type="character" w:customStyle="1" w:styleId="BodyTextIndentChar">
    <w:name w:val="Body Text Indent Char"/>
    <w:link w:val="Recuodecorpodetexto1"/>
    <w:rPr>
      <w:rFonts w:ascii="Calibri" w:eastAsia="Times New Roman" w:hAnsi="Calibri" w:cs="Times New Roman"/>
    </w:rPr>
  </w:style>
  <w:style w:type="paragraph" w:customStyle="1" w:styleId="p2">
    <w:name w:val="p2"/>
    <w:basedOn w:val="Normal"/>
    <w:pPr>
      <w:widowControl w:val="0"/>
      <w:tabs>
        <w:tab w:val="left" w:pos="720"/>
      </w:tabs>
      <w:spacing w:after="200" w:line="280" w:lineRule="atLeast"/>
    </w:pPr>
    <w:rPr>
      <w:rFonts w:eastAsia="Times New Roman"/>
      <w:szCs w:val="20"/>
    </w:rPr>
  </w:style>
  <w:style w:type="paragraph" w:styleId="SemEspaamento">
    <w:name w:val="No Spacing"/>
    <w:link w:val="SemEspaamentoChar"/>
    <w:uiPriority w:val="1"/>
    <w:qFormat/>
    <w:rPr>
      <w:rFonts w:eastAsia="Times New Roman" w:cs="Times New Roman"/>
    </w:rPr>
  </w:style>
  <w:style w:type="paragraph" w:customStyle="1" w:styleId="Default">
    <w:name w:val="Default"/>
    <w:pPr>
      <w:autoSpaceDE w:val="0"/>
      <w:autoSpaceDN w:val="0"/>
      <w:adjustRightInd w:val="0"/>
    </w:pPr>
    <w:rPr>
      <w:rFonts w:ascii="Tahoma-Bold" w:eastAsia="Times New Roman" w:hAnsi="Tahoma-Bold" w:cs="Times New Roman"/>
      <w:sz w:val="20"/>
      <w:szCs w:val="20"/>
    </w:rPr>
  </w:style>
  <w:style w:type="paragraph" w:customStyle="1" w:styleId="WW-Recuodecorpodetexto31">
    <w:name w:val="WW-Recuo de corpo de texto 31"/>
    <w:basedOn w:val="Normal"/>
    <w:uiPriority w:val="99"/>
    <w:pPr>
      <w:suppressAutoHyphens/>
      <w:ind w:firstLine="567"/>
      <w:jc w:val="both"/>
    </w:pPr>
    <w:rPr>
      <w:rFonts w:ascii="Arial" w:eastAsia="Times New Roman" w:hAnsi="Arial"/>
      <w:sz w:val="20"/>
      <w:szCs w:val="24"/>
    </w:rPr>
  </w:style>
  <w:style w:type="paragraph" w:styleId="Lista">
    <w:name w:val="List"/>
    <w:basedOn w:val="Normal"/>
    <w:pPr>
      <w:suppressAutoHyphens/>
      <w:ind w:left="283" w:hanging="283"/>
    </w:pPr>
    <w:rPr>
      <w:rFonts w:ascii="Arial" w:eastAsia="Times New Roman" w:hAnsi="Arial"/>
      <w:sz w:val="24"/>
      <w:szCs w:val="20"/>
      <w:lang w:eastAsia="ar-SA"/>
    </w:rPr>
  </w:style>
  <w:style w:type="paragraph" w:customStyle="1" w:styleId="style10">
    <w:name w:val="style10"/>
    <w:basedOn w:val="Normal"/>
    <w:pPr>
      <w:spacing w:before="100" w:beforeAutospacing="1" w:after="100" w:afterAutospacing="1"/>
    </w:pPr>
    <w:rPr>
      <w:rFonts w:ascii="Verdana" w:eastAsia="Times New Roman" w:hAnsi="Verdana"/>
      <w:sz w:val="17"/>
      <w:szCs w:val="17"/>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pPr>
    <w:rPr>
      <w:rFonts w:ascii="Arial" w:eastAsia="Times New Roman" w:hAnsi="Arial"/>
      <w:sz w:val="24"/>
      <w:szCs w:val="20"/>
      <w:lang w:eastAsia="ar-SA"/>
    </w:rPr>
  </w:style>
  <w:style w:type="paragraph" w:customStyle="1" w:styleId="Corpo">
    <w:name w:val="Corpo"/>
    <w:pPr>
      <w:widowControl w:val="0"/>
      <w:suppressAutoHyphens/>
      <w:jc w:val="both"/>
    </w:pPr>
    <w:rPr>
      <w:rFonts w:ascii="Arial" w:eastAsia="Times New Roman" w:hAnsi="Arial" w:cs="Times New Roman"/>
      <w:color w:val="000000"/>
      <w:sz w:val="24"/>
      <w:szCs w:val="20"/>
      <w:lang w:eastAsia="ar-SA"/>
    </w:rPr>
  </w:style>
  <w:style w:type="paragraph" w:customStyle="1" w:styleId="CAB12">
    <w:name w:val="CAB12"/>
    <w:pPr>
      <w:widowControl w:val="0"/>
      <w:ind w:left="144"/>
    </w:pPr>
    <w:rPr>
      <w:rFonts w:ascii="Times New Roman" w:eastAsia="Times New Roman" w:hAnsi="Times New Roman" w:cs="Times New Roman"/>
      <w:color w:val="000000"/>
      <w:sz w:val="20"/>
      <w:szCs w:val="20"/>
    </w:rPr>
  </w:style>
  <w:style w:type="paragraph" w:customStyle="1" w:styleId="CAB15">
    <w:name w:val="CAB15"/>
    <w:pPr>
      <w:widowControl w:val="0"/>
      <w:ind w:left="144" w:right="2736"/>
    </w:pPr>
    <w:rPr>
      <w:rFonts w:ascii="Times New Roman" w:eastAsia="Times New Roman" w:hAnsi="Times New Roman" w:cs="Times New Roman"/>
      <w:color w:val="000000"/>
      <w:sz w:val="16"/>
      <w:szCs w:val="20"/>
    </w:rPr>
  </w:style>
  <w:style w:type="paragraph" w:styleId="Lista2">
    <w:name w:val="List 2"/>
    <w:basedOn w:val="Normal"/>
    <w:pPr>
      <w:ind w:left="566" w:hanging="283"/>
    </w:pPr>
    <w:rPr>
      <w:rFonts w:ascii="Times New Roman" w:eastAsia="Times New Roman" w:hAnsi="Times New Roman"/>
      <w:sz w:val="20"/>
      <w:szCs w:val="20"/>
      <w:lang w:val="pt-PT"/>
    </w:rPr>
  </w:style>
  <w:style w:type="paragraph" w:customStyle="1" w:styleId="Subitem-2">
    <w:name w:val="Subitem-2"/>
    <w:pPr>
      <w:keepLines/>
      <w:widowControl w:val="0"/>
      <w:tabs>
        <w:tab w:val="left" w:pos="8784"/>
      </w:tabs>
      <w:spacing w:before="240"/>
      <w:ind w:left="1560" w:hanging="851"/>
      <w:jc w:val="both"/>
    </w:pPr>
    <w:rPr>
      <w:rFonts w:ascii="Arial" w:eastAsia="Times New Roman" w:hAnsi="Arial" w:cs="Times New Roman"/>
      <w:color w:val="000000"/>
      <w:sz w:val="24"/>
      <w:szCs w:val="20"/>
    </w:rPr>
  </w:style>
  <w:style w:type="paragraph" w:customStyle="1" w:styleId="Subitem-1">
    <w:name w:val="Subitem-1"/>
    <w:basedOn w:val="Normal"/>
    <w:pPr>
      <w:keepLines/>
      <w:widowControl w:val="0"/>
      <w:tabs>
        <w:tab w:val="left" w:pos="8784"/>
      </w:tabs>
      <w:spacing w:before="180"/>
      <w:ind w:left="709" w:hanging="709"/>
      <w:jc w:val="both"/>
    </w:pPr>
    <w:rPr>
      <w:rFonts w:ascii="Arial" w:eastAsia="Times New Roman" w:hAnsi="Arial"/>
      <w:color w:val="000000"/>
      <w:sz w:val="24"/>
      <w:szCs w:val="20"/>
    </w:rPr>
  </w:style>
  <w:style w:type="paragraph" w:customStyle="1" w:styleId="TCTtuloCentralizado">
    <w:name w:val="TC TítuloCentralizado"/>
    <w:next w:val="SCSubttuloCentralizado"/>
    <w:pPr>
      <w:widowControl w:val="0"/>
      <w:spacing w:before="720" w:after="360"/>
      <w:jc w:val="center"/>
    </w:pPr>
    <w:rPr>
      <w:rFonts w:ascii="Times New Roman" w:eastAsia="Times New Roman" w:hAnsi="Times New Roman" w:cs="Times New Roman"/>
      <w:b/>
      <w:caps/>
      <w:color w:val="000000"/>
      <w:sz w:val="36"/>
      <w:szCs w:val="20"/>
    </w:rPr>
  </w:style>
  <w:style w:type="paragraph" w:customStyle="1" w:styleId="SCSubttuloCentralizado">
    <w:name w:val="SC SubtítuloCentralizado"/>
    <w:next w:val="Normal"/>
    <w:pPr>
      <w:widowControl w:val="0"/>
      <w:spacing w:before="260" w:after="390"/>
      <w:jc w:val="center"/>
    </w:pPr>
    <w:rPr>
      <w:rFonts w:ascii="Times New Roman" w:eastAsia="Times New Roman" w:hAnsi="Times New Roman" w:cs="Times New Roman"/>
      <w:b/>
      <w:caps/>
      <w:color w:val="000000"/>
      <w:sz w:val="26"/>
      <w:szCs w:val="20"/>
    </w:rPr>
  </w:style>
  <w:style w:type="paragraph" w:customStyle="1" w:styleId="A101665">
    <w:name w:val="_A101665"/>
    <w:pPr>
      <w:widowControl w:val="0"/>
      <w:ind w:left="2304" w:right="5040" w:hanging="864"/>
      <w:jc w:val="both"/>
    </w:pPr>
    <w:rPr>
      <w:rFonts w:ascii="Times New Roman" w:eastAsia="Times New Roman" w:hAnsi="Times New Roman" w:cs="Times New Roman"/>
      <w:color w:val="000000"/>
      <w:sz w:val="24"/>
      <w:szCs w:val="20"/>
    </w:rPr>
  </w:style>
  <w:style w:type="paragraph" w:customStyle="1" w:styleId="SUBITEM">
    <w:name w:val="SUBITEM"/>
    <w:basedOn w:val="Normal"/>
    <w:pPr>
      <w:widowControl w:val="0"/>
      <w:spacing w:before="180"/>
      <w:ind w:left="993" w:hanging="709"/>
      <w:jc w:val="both"/>
    </w:pPr>
    <w:rPr>
      <w:rFonts w:ascii="Arial" w:eastAsia="Times New Roman" w:hAnsi="Arial"/>
      <w:sz w:val="26"/>
      <w:szCs w:val="20"/>
      <w:lang w:val="pt-PT"/>
    </w:rPr>
  </w:style>
  <w:style w:type="paragraph" w:customStyle="1" w:styleId="tit3">
    <w:name w:val="tit_3"/>
    <w:basedOn w:val="Normal"/>
    <w:pPr>
      <w:spacing w:before="180"/>
      <w:ind w:left="1701" w:hanging="992"/>
      <w:jc w:val="both"/>
    </w:pPr>
    <w:rPr>
      <w:rFonts w:ascii="Courier New" w:eastAsia="Times New Roman" w:hAnsi="Courier New"/>
      <w:sz w:val="24"/>
      <w:szCs w:val="20"/>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ind w:firstLine="1701"/>
      <w:jc w:val="both"/>
    </w:pPr>
    <w:rPr>
      <w:rFonts w:ascii="Arial" w:eastAsia="Times New Roman" w:hAnsi="Arial"/>
      <w:szCs w:val="20"/>
      <w:lang w:val="pt-PT"/>
    </w:rPr>
  </w:style>
  <w:style w:type="paragraph" w:customStyle="1" w:styleId="A030370">
    <w:name w:val="_A030370"/>
    <w:pPr>
      <w:widowControl w:val="0"/>
      <w:ind w:left="432" w:right="5328"/>
      <w:jc w:val="both"/>
    </w:pPr>
    <w:rPr>
      <w:rFonts w:ascii="Times New Roman" w:eastAsia="Times New Roman" w:hAnsi="Times New Roman" w:cs="Times New Roman"/>
      <w:color w:val="000000"/>
      <w:sz w:val="24"/>
      <w:szCs w:val="20"/>
    </w:rPr>
  </w:style>
  <w:style w:type="paragraph" w:customStyle="1" w:styleId="SUBITEM2">
    <w:name w:val="SUBITEM2"/>
    <w:basedOn w:val="Normal"/>
    <w:pPr>
      <w:widowControl w:val="0"/>
      <w:spacing w:before="180"/>
      <w:ind w:left="1418" w:hanging="851"/>
      <w:jc w:val="both"/>
    </w:pPr>
    <w:rPr>
      <w:rFonts w:ascii="Arial" w:eastAsia="Times New Roman" w:hAnsi="Arial"/>
      <w:szCs w:val="20"/>
      <w:lang w:val="pt-PT"/>
    </w:rPr>
  </w:style>
  <w:style w:type="paragraph" w:customStyle="1" w:styleId="A011770">
    <w:name w:val="_A011770"/>
    <w:pPr>
      <w:widowControl w:val="0"/>
      <w:ind w:left="2448" w:right="5328" w:hanging="2304"/>
      <w:jc w:val="both"/>
    </w:pPr>
    <w:rPr>
      <w:rFonts w:ascii="Times New Roman" w:eastAsia="Times New Roman" w:hAnsi="Times New Roman" w:cs="Times New Roman"/>
      <w:color w:val="000000"/>
      <w:sz w:val="24"/>
      <w:szCs w:val="20"/>
    </w:rPr>
  </w:style>
  <w:style w:type="paragraph" w:customStyle="1" w:styleId="marc-1">
    <w:name w:val="marc-1"/>
    <w:basedOn w:val="Normal"/>
    <w:pPr>
      <w:keepLines/>
      <w:widowControl w:val="0"/>
      <w:tabs>
        <w:tab w:val="left" w:pos="8784"/>
      </w:tabs>
      <w:spacing w:before="120"/>
      <w:ind w:left="993" w:hanging="284"/>
      <w:jc w:val="both"/>
    </w:pPr>
    <w:rPr>
      <w:rFonts w:ascii="Arial" w:eastAsia="Times New Roman" w:hAnsi="Arial"/>
      <w:color w:val="000000"/>
      <w:sz w:val="24"/>
      <w:szCs w:val="20"/>
    </w:rPr>
  </w:style>
  <w:style w:type="paragraph" w:customStyle="1" w:styleId="marc1">
    <w:name w:val="marc_1"/>
    <w:basedOn w:val="Normal"/>
    <w:pPr>
      <w:spacing w:before="180"/>
      <w:ind w:left="1134" w:hanging="431"/>
      <w:jc w:val="both"/>
    </w:pPr>
    <w:rPr>
      <w:rFonts w:ascii="Courier New" w:eastAsia="Times New Roman" w:hAnsi="Courier New"/>
      <w:sz w:val="24"/>
      <w:szCs w:val="20"/>
    </w:rPr>
  </w:style>
  <w:style w:type="paragraph" w:customStyle="1" w:styleId="ITEM10">
    <w:name w:val="ITEM10"/>
    <w:pPr>
      <w:ind w:left="144" w:right="2736"/>
      <w:jc w:val="both"/>
    </w:pPr>
    <w:rPr>
      <w:rFonts w:ascii="Times New Roman" w:eastAsia="Times New Roman" w:hAnsi="Times New Roman" w:cs="Times New Roman"/>
      <w:color w:val="000000"/>
      <w:sz w:val="24"/>
      <w:szCs w:val="20"/>
    </w:rPr>
  </w:style>
  <w:style w:type="paragraph" w:styleId="TextosemFormatao">
    <w:name w:val="Plain Text"/>
    <w:basedOn w:val="Normal"/>
    <w:link w:val="TextosemFormataoChar"/>
    <w:rPr>
      <w:rFonts w:ascii="Courier New" w:eastAsia="Times New Roman" w:hAnsi="Courier New"/>
      <w:sz w:val="20"/>
      <w:szCs w:val="20"/>
    </w:rPr>
  </w:style>
  <w:style w:type="character" w:customStyle="1" w:styleId="TextosemFormataoChar">
    <w:name w:val="Texto sem Formatação Char"/>
    <w:basedOn w:val="Fontepargpadro"/>
    <w:link w:val="TextosemFormatao"/>
    <w:rPr>
      <w:rFonts w:ascii="Courier New" w:eastAsia="Times New Roman" w:hAnsi="Courier New" w:cs="Times New Roman"/>
      <w:sz w:val="20"/>
      <w:szCs w:val="20"/>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outlineLvl w:val="6"/>
    </w:pPr>
    <w:rPr>
      <w:rFonts w:ascii="Times New Roman" w:eastAsia="Times New Roman" w:hAnsi="Times New Roman"/>
      <w:b/>
      <w:snapToGrid w:val="0"/>
      <w:sz w:val="16"/>
      <w:szCs w:val="20"/>
    </w:rPr>
  </w:style>
  <w:style w:type="paragraph" w:customStyle="1" w:styleId="DefinitionTerm">
    <w:name w:val="Definition Term"/>
    <w:basedOn w:val="Normal"/>
    <w:next w:val="DefinitionList"/>
    <w:pPr>
      <w:widowControl w:val="0"/>
    </w:pPr>
    <w:rPr>
      <w:rFonts w:ascii="Times New Roman" w:eastAsia="Times New Roman" w:hAnsi="Times New Roman"/>
      <w:snapToGrid w:val="0"/>
      <w:sz w:val="24"/>
      <w:szCs w:val="20"/>
    </w:rPr>
  </w:style>
  <w:style w:type="paragraph" w:customStyle="1" w:styleId="DefinitionList">
    <w:name w:val="Definition List"/>
    <w:basedOn w:val="Normal"/>
    <w:next w:val="DefinitionTerm"/>
    <w:pPr>
      <w:widowControl w:val="0"/>
      <w:ind w:left="360"/>
    </w:pPr>
    <w:rPr>
      <w:rFonts w:ascii="Times New Roman" w:eastAsia="Times New Roman" w:hAnsi="Times New Roman"/>
      <w:snapToGrid w:val="0"/>
      <w:sz w:val="24"/>
      <w:szCs w:val="20"/>
    </w:rPr>
  </w:style>
  <w:style w:type="character" w:customStyle="1" w:styleId="Definition">
    <w:name w:val="Definition"/>
    <w:rPr>
      <w:i/>
    </w:rPr>
  </w:style>
  <w:style w:type="paragraph" w:customStyle="1" w:styleId="H1">
    <w:name w:val="H1"/>
    <w:basedOn w:val="Normal"/>
    <w:next w:val="Normal"/>
    <w:pPr>
      <w:keepNext/>
      <w:widowControl w:val="0"/>
      <w:spacing w:before="100" w:after="100"/>
      <w:outlineLvl w:val="1"/>
    </w:pPr>
    <w:rPr>
      <w:rFonts w:ascii="Times New Roman" w:eastAsia="Times New Roman" w:hAnsi="Times New Roman"/>
      <w:b/>
      <w:snapToGrid w:val="0"/>
      <w:kern w:val="36"/>
      <w:sz w:val="48"/>
      <w:szCs w:val="20"/>
    </w:rPr>
  </w:style>
  <w:style w:type="paragraph" w:customStyle="1" w:styleId="H2">
    <w:name w:val="H2"/>
    <w:basedOn w:val="Normal"/>
    <w:next w:val="Normal"/>
    <w:pPr>
      <w:keepNext/>
      <w:widowControl w:val="0"/>
      <w:spacing w:before="100" w:after="100"/>
      <w:outlineLvl w:val="2"/>
    </w:pPr>
    <w:rPr>
      <w:rFonts w:ascii="Times New Roman" w:eastAsia="Times New Roman" w:hAnsi="Times New Roman"/>
      <w:b/>
      <w:snapToGrid w:val="0"/>
      <w:sz w:val="36"/>
      <w:szCs w:val="20"/>
    </w:rPr>
  </w:style>
  <w:style w:type="paragraph" w:customStyle="1" w:styleId="H3">
    <w:name w:val="H3"/>
    <w:basedOn w:val="Normal"/>
    <w:next w:val="Normal"/>
    <w:pPr>
      <w:keepNext/>
      <w:widowControl w:val="0"/>
      <w:spacing w:before="100" w:after="100"/>
      <w:outlineLvl w:val="3"/>
    </w:pPr>
    <w:rPr>
      <w:rFonts w:ascii="Times New Roman" w:eastAsia="Times New Roman" w:hAnsi="Times New Roman"/>
      <w:b/>
      <w:snapToGrid w:val="0"/>
      <w:sz w:val="28"/>
      <w:szCs w:val="20"/>
    </w:rPr>
  </w:style>
  <w:style w:type="paragraph" w:customStyle="1" w:styleId="H4">
    <w:name w:val="H4"/>
    <w:basedOn w:val="Normal"/>
    <w:next w:val="Normal"/>
    <w:pPr>
      <w:keepNext/>
      <w:widowControl w:val="0"/>
      <w:spacing w:before="100" w:after="100"/>
      <w:outlineLvl w:val="4"/>
    </w:pPr>
    <w:rPr>
      <w:rFonts w:ascii="Times New Roman" w:eastAsia="Times New Roman" w:hAnsi="Times New Roman"/>
      <w:b/>
      <w:snapToGrid w:val="0"/>
      <w:sz w:val="24"/>
      <w:szCs w:val="20"/>
    </w:rPr>
  </w:style>
  <w:style w:type="paragraph" w:customStyle="1" w:styleId="H5">
    <w:name w:val="H5"/>
    <w:basedOn w:val="Normal"/>
    <w:next w:val="Normal"/>
    <w:pPr>
      <w:keepNext/>
      <w:widowControl w:val="0"/>
      <w:spacing w:before="100" w:after="100"/>
      <w:outlineLvl w:val="5"/>
    </w:pPr>
    <w:rPr>
      <w:rFonts w:ascii="Times New Roman" w:eastAsia="Times New Roman" w:hAnsi="Times New Roman"/>
      <w:b/>
      <w:snapToGrid w:val="0"/>
      <w:sz w:val="20"/>
      <w:szCs w:val="20"/>
    </w:rPr>
  </w:style>
  <w:style w:type="paragraph" w:customStyle="1" w:styleId="Address">
    <w:name w:val="Address"/>
    <w:basedOn w:val="Normal"/>
    <w:next w:val="Normal"/>
    <w:pPr>
      <w:widowControl w:val="0"/>
    </w:pPr>
    <w:rPr>
      <w:rFonts w:ascii="Times New Roman" w:eastAsia="Times New Roman" w:hAnsi="Times New Roman"/>
      <w:i/>
      <w:snapToGrid w:val="0"/>
      <w:sz w:val="24"/>
      <w:szCs w:val="20"/>
    </w:rPr>
  </w:style>
  <w:style w:type="paragraph" w:customStyle="1" w:styleId="Blockquote">
    <w:name w:val="Blockquote"/>
    <w:basedOn w:val="Normal"/>
    <w:pPr>
      <w:widowControl w:val="0"/>
      <w:spacing w:before="100" w:after="100"/>
      <w:ind w:left="360" w:right="360"/>
    </w:pPr>
    <w:rPr>
      <w:rFonts w:ascii="Times New Roman" w:eastAsia="Times New Roman" w:hAnsi="Times New Roman"/>
      <w:snapToGrid w:val="0"/>
      <w:sz w:val="24"/>
      <w:szCs w:val="20"/>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snapToGrid w:val="0"/>
      <w:sz w:val="20"/>
      <w:szCs w:val="20"/>
    </w:rPr>
  </w:style>
  <w:style w:type="paragraph" w:customStyle="1" w:styleId="z-BottomofForm">
    <w:name w:val="z-Bottom of Form"/>
    <w:next w:val="Normal"/>
    <w:hidden/>
    <w:pPr>
      <w:widowControl w:val="0"/>
      <w:pBdr>
        <w:top w:val="double" w:sz="2" w:space="0" w:color="000000"/>
      </w:pBdr>
      <w:jc w:val="center"/>
    </w:pPr>
    <w:rPr>
      <w:rFonts w:ascii="Arial" w:eastAsia="Times New Roman" w:hAnsi="Arial" w:cs="Times New Roman"/>
      <w:snapToGrid w:val="0"/>
      <w:vanish/>
      <w:sz w:val="16"/>
      <w:szCs w:val="20"/>
    </w:rPr>
  </w:style>
  <w:style w:type="paragraph" w:customStyle="1" w:styleId="z-TopofForm">
    <w:name w:val="z-Top of Form"/>
    <w:next w:val="Normal"/>
    <w:hidden/>
    <w:pPr>
      <w:widowControl w:val="0"/>
      <w:pBdr>
        <w:bottom w:val="double" w:sz="2" w:space="0" w:color="000000"/>
      </w:pBdr>
      <w:jc w:val="center"/>
    </w:pPr>
    <w:rPr>
      <w:rFonts w:ascii="Arial" w:eastAsia="Times New Roman" w:hAnsi="Arial" w:cs="Times New Roman"/>
      <w:snapToGrid w:val="0"/>
      <w:vanish/>
      <w:sz w:val="16"/>
      <w:szCs w:val="20"/>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jc w:val="both"/>
    </w:pPr>
    <w:rPr>
      <w:rFonts w:ascii="Arial" w:eastAsia="Times New Roman" w:hAnsi="Arial"/>
      <w:sz w:val="24"/>
      <w:szCs w:val="20"/>
      <w:lang w:eastAsia="ar-SA"/>
    </w:rPr>
  </w:style>
  <w:style w:type="paragraph" w:customStyle="1" w:styleId="Recuodecorpodetexto21">
    <w:name w:val="Recuo de corpo de texto 21"/>
    <w:basedOn w:val="Normal"/>
    <w:pPr>
      <w:suppressAutoHyphens/>
      <w:ind w:left="3828"/>
      <w:jc w:val="both"/>
    </w:pPr>
    <w:rPr>
      <w:rFonts w:ascii="Arial" w:eastAsia="Times New Roman" w:hAnsi="Arial"/>
      <w:b/>
      <w:color w:val="000000"/>
      <w:szCs w:val="20"/>
      <w:lang w:eastAsia="ar-SA"/>
    </w:rPr>
  </w:style>
  <w:style w:type="paragraph" w:customStyle="1" w:styleId="Textoembloco1">
    <w:name w:val="Texto em bloco1"/>
    <w:basedOn w:val="Normal"/>
    <w:pPr>
      <w:suppressAutoHyphens/>
      <w:ind w:left="3402" w:right="23"/>
      <w:jc w:val="both"/>
    </w:pPr>
    <w:rPr>
      <w:rFonts w:ascii="Times New Roman" w:eastAsia="Times New Roman" w:hAnsi="Times New Roman"/>
      <w:b/>
      <w:szCs w:val="20"/>
      <w:lang w:eastAsia="ar-SA"/>
    </w:rPr>
  </w:style>
  <w:style w:type="paragraph" w:customStyle="1" w:styleId="p41">
    <w:name w:val="p41"/>
    <w:basedOn w:val="Normal"/>
    <w:pPr>
      <w:widowControl w:val="0"/>
      <w:tabs>
        <w:tab w:val="left" w:pos="660"/>
        <w:tab w:val="left" w:pos="1120"/>
      </w:tabs>
      <w:suppressAutoHyphens/>
      <w:spacing w:line="280" w:lineRule="atLeast"/>
      <w:ind w:left="1440" w:firstLine="720"/>
      <w:jc w:val="both"/>
    </w:pPr>
    <w:rPr>
      <w:rFonts w:ascii="Times New Roman" w:eastAsia="Times New Roman" w:hAnsi="Times New Roman"/>
      <w:sz w:val="24"/>
      <w:szCs w:val="20"/>
      <w:lang w:eastAsia="ar-SA"/>
    </w:rPr>
  </w:style>
  <w:style w:type="paragraph" w:customStyle="1" w:styleId="Recuodecorpodetexto31">
    <w:name w:val="Recuo de corpo de texto 31"/>
    <w:basedOn w:val="Normal"/>
    <w:pPr>
      <w:suppressAutoHyphens/>
      <w:spacing w:after="120"/>
      <w:ind w:left="283"/>
    </w:pPr>
    <w:rPr>
      <w:rFonts w:ascii="Times New Roman" w:eastAsia="Times New Roman" w:hAnsi="Times New Roman"/>
      <w:sz w:val="16"/>
      <w:szCs w:val="16"/>
    </w:rPr>
  </w:style>
  <w:style w:type="paragraph" w:customStyle="1" w:styleId="Corpodetexto211">
    <w:name w:val="Corpo de texto 211"/>
    <w:basedOn w:val="Normal"/>
    <w:uiPriority w:val="99"/>
    <w:pPr>
      <w:suppressAutoHyphens/>
      <w:spacing w:line="360" w:lineRule="auto"/>
      <w:jc w:val="both"/>
    </w:pPr>
    <w:rPr>
      <w:rFonts w:ascii="Courier New" w:eastAsia="Times New Roman" w:hAnsi="Courier New"/>
      <w:color w:val="000000"/>
      <w:szCs w:val="20"/>
    </w:rPr>
  </w:style>
  <w:style w:type="paragraph" w:customStyle="1" w:styleId="contrato">
    <w:name w:val="contrato"/>
    <w:basedOn w:val="Normal"/>
    <w:pPr>
      <w:jc w:val="both"/>
    </w:pPr>
    <w:rPr>
      <w:rFonts w:ascii="Arial" w:eastAsia="Times New Roman" w:hAnsi="Arial"/>
      <w:szCs w:val="20"/>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textAlignment w:val="baseline"/>
    </w:pPr>
    <w:rPr>
      <w:rFonts w:ascii="Times New Roman" w:eastAsia="Times New Roman" w:hAnsi="Times New Roman" w:cs="Times New Roman"/>
      <w:kern w:val="3"/>
      <w:sz w:val="24"/>
      <w:szCs w:val="24"/>
    </w:rPr>
  </w:style>
  <w:style w:type="table" w:styleId="Tabelacomgrade">
    <w:name w:val="Table Grid"/>
    <w:basedOn w:val="Tabelanormal"/>
    <w:uiPriority w:val="39"/>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pPr>
    <w:rPr>
      <w:rFonts w:ascii="Arial" w:eastAsia="Times New Roman" w:hAnsi="Arial" w:cs="Arial"/>
      <w:b/>
      <w:bCs/>
      <w:sz w:val="24"/>
      <w:szCs w:val="24"/>
      <w:lang w:eastAsia="ar-SA"/>
    </w:rPr>
  </w:style>
  <w:style w:type="paragraph" w:styleId="Subttulo">
    <w:name w:val="Subtitle"/>
    <w:basedOn w:val="Normal"/>
    <w:next w:val="Normal"/>
    <w:link w:val="SubttuloChar"/>
    <w:uiPriority w:val="11"/>
    <w:qFormat/>
    <w:pPr>
      <w:keepNext/>
      <w:spacing w:before="240" w:after="120"/>
      <w:jc w:val="center"/>
    </w:pPr>
    <w:rPr>
      <w:rFonts w:ascii="Arial" w:eastAsia="Arial" w:hAnsi="Arial" w:cs="Arial"/>
      <w:i/>
      <w:sz w:val="28"/>
      <w:szCs w:val="28"/>
    </w:rPr>
  </w:style>
  <w:style w:type="character" w:customStyle="1" w:styleId="SubttuloChar">
    <w:name w:val="Subtítulo Char"/>
    <w:basedOn w:val="Fontepargpadro"/>
    <w:link w:val="Subttulo"/>
    <w:uiPriority w:val="99"/>
    <w:rPr>
      <w:rFonts w:ascii="Arial" w:eastAsia="Calibri" w:hAnsi="Arial" w:cs="Times New Roman"/>
      <w:i/>
      <w:iCs/>
      <w:sz w:val="28"/>
      <w:szCs w:val="28"/>
      <w:lang w:eastAsia="ar-SA"/>
    </w:rPr>
  </w:style>
  <w:style w:type="paragraph" w:customStyle="1" w:styleId="Normal1">
    <w:name w:val="Normal1"/>
    <w:basedOn w:val="Normal"/>
    <w:pPr>
      <w:widowControl w:val="0"/>
      <w:suppressAutoHyphens/>
      <w:autoSpaceDE w:val="0"/>
    </w:pPr>
    <w:rPr>
      <w:rFonts w:ascii="Verdana-Bold" w:hAnsi="Verdana-Bold" w:cs="Verdana-Bold"/>
      <w:sz w:val="20"/>
      <w:szCs w:val="20"/>
      <w:lang w:eastAsia="ar-SA"/>
    </w:rPr>
  </w:style>
  <w:style w:type="paragraph" w:customStyle="1" w:styleId="Corpodetexto22">
    <w:name w:val="Corpo de texto 22"/>
    <w:basedOn w:val="Normal"/>
    <w:uiPriority w:val="99"/>
    <w:pPr>
      <w:ind w:hanging="1134"/>
      <w:jc w:val="both"/>
    </w:pPr>
    <w:rPr>
      <w:rFonts w:ascii="Arial" w:eastAsia="Times New Roman" w:hAnsi="Arial" w:cs="Arial"/>
      <w:kern w:val="1"/>
      <w:sz w:val="20"/>
      <w:szCs w:val="20"/>
      <w:lang w:eastAsia="ar-SA"/>
    </w:rPr>
  </w:style>
  <w:style w:type="paragraph" w:customStyle="1" w:styleId="WW-Default">
    <w:name w:val="WW-Default"/>
    <w:basedOn w:val="Normal"/>
    <w:uiPriority w:val="99"/>
    <w:pPr>
      <w:widowControl w:val="0"/>
      <w:suppressAutoHyphens/>
      <w:autoSpaceDE w:val="0"/>
    </w:pPr>
    <w:rPr>
      <w:rFonts w:ascii="Verdana-Bold" w:eastAsia="Times New Roman" w:hAnsi="Verdana-Bold" w:cs="Verdana-Bold"/>
      <w:kern w:val="1"/>
      <w:sz w:val="20"/>
      <w:szCs w:val="20"/>
      <w:lang w:eastAsia="ar-SA"/>
    </w:rPr>
  </w:style>
  <w:style w:type="character" w:styleId="HiperlinkVisitado">
    <w:name w:val="FollowedHyperlink"/>
    <w:basedOn w:val="Fontepargpadro"/>
    <w:uiPriority w:val="99"/>
    <w:semiHidden/>
    <w:unhideWhenUsed/>
    <w:rPr>
      <w:color w:val="800080" w:themeColor="followedHyperlink"/>
      <w:u w:val="single"/>
    </w:rPr>
  </w:style>
  <w:style w:type="paragraph" w:customStyle="1" w:styleId="msonormal0">
    <w:name w:val="msonormal"/>
    <w:basedOn w:val="Normal"/>
    <w:uiPriority w:val="99"/>
    <w:pPr>
      <w:spacing w:before="100" w:beforeAutospacing="1" w:after="100" w:afterAutospacing="1"/>
    </w:pPr>
    <w:rPr>
      <w:rFonts w:ascii="Times New Roman" w:eastAsia="Times New Roman" w:hAnsi="Times New Roman"/>
      <w:sz w:val="24"/>
      <w:szCs w:val="24"/>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pPr>
      <w:widowControl w:val="0"/>
    </w:pPr>
    <w:rPr>
      <w:rFonts w:asciiTheme="minorHAnsi" w:eastAsiaTheme="minorHAnsi" w:hAnsiTheme="minorHAnsi" w:cstheme="minorBidi"/>
      <w:lang w:val="en-US"/>
    </w:rPr>
  </w:style>
  <w:style w:type="paragraph" w:customStyle="1" w:styleId="Item111">
    <w:name w:val="Item 1.1.1"/>
    <w:basedOn w:val="Normal"/>
    <w:uiPriority w:val="99"/>
    <w:pPr>
      <w:widowControl w:val="0"/>
      <w:tabs>
        <w:tab w:val="left" w:pos="2127"/>
        <w:tab w:val="left" w:pos="3119"/>
      </w:tabs>
      <w:autoSpaceDE w:val="0"/>
      <w:spacing w:before="120"/>
      <w:jc w:val="both"/>
    </w:pPr>
    <w:rPr>
      <w:rFonts w:ascii="Arial" w:eastAsia="Times New Roman" w:hAnsi="Arial"/>
      <w:szCs w:val="20"/>
      <w:lang w:eastAsia="ar-SA"/>
    </w:rPr>
  </w:style>
  <w:style w:type="paragraph" w:customStyle="1" w:styleId="textbody">
    <w:name w:val="textbody"/>
    <w:basedOn w:val="Normal"/>
    <w:uiPriority w:val="99"/>
    <w:pPr>
      <w:spacing w:before="100" w:beforeAutospacing="1" w:after="100" w:afterAutospacing="1"/>
    </w:pPr>
    <w:rPr>
      <w:rFonts w:ascii="Times New Roman" w:eastAsia="Times New Roman" w:hAnsi="Times New Roman"/>
      <w:sz w:val="24"/>
      <w:szCs w:val="24"/>
    </w:rPr>
  </w:style>
  <w:style w:type="paragraph" w:customStyle="1" w:styleId="Cabealhoencabezado">
    <w:name w:val="Cabeçalho.encabezado"/>
    <w:basedOn w:val="Normal"/>
    <w:pPr>
      <w:tabs>
        <w:tab w:val="center" w:pos="4419"/>
        <w:tab w:val="right" w:pos="8838"/>
      </w:tabs>
      <w:suppressAutoHyphens/>
    </w:pPr>
    <w:rPr>
      <w:rFonts w:ascii="Arial" w:eastAsia="Times New Roman" w:hAnsi="Arial"/>
      <w:sz w:val="24"/>
      <w:szCs w:val="20"/>
      <w:lang w:eastAsia="ar-SA"/>
    </w:rPr>
  </w:style>
  <w:style w:type="paragraph" w:customStyle="1" w:styleId="NormalCourierNew">
    <w:name w:val="Normal + Courier New"/>
    <w:aliases w:val="Justificado,À direita:  -0,96 cm"/>
    <w:basedOn w:val="Normal"/>
    <w:uiPriority w:val="99"/>
    <w:pPr>
      <w:numPr>
        <w:numId w:val="2"/>
      </w:numPr>
      <w:suppressAutoHyphens/>
      <w:ind w:right="-547"/>
      <w:jc w:val="both"/>
    </w:pPr>
    <w:rPr>
      <w:rFonts w:ascii="Courier New" w:eastAsia="Times New Roman" w:hAnsi="Courier New" w:cs="Courier New"/>
      <w:sz w:val="20"/>
      <w:szCs w:val="20"/>
      <w:lang w:eastAsia="ar-SA"/>
    </w:rPr>
  </w:style>
  <w:style w:type="character" w:customStyle="1" w:styleId="style381">
    <w:name w:val="style381"/>
    <w:rPr>
      <w:sz w:val="14"/>
      <w:szCs w:val="14"/>
    </w:rPr>
  </w:style>
  <w:style w:type="character" w:customStyle="1" w:styleId="headsmall">
    <w:name w:val="headsmall"/>
    <w:basedOn w:val="Fontepargpadro"/>
  </w:style>
  <w:style w:type="table" w:customStyle="1" w:styleId="TableNormal0">
    <w:name w:val="Table Normal"/>
    <w:uiPriority w:val="2"/>
    <w:semiHidden/>
    <w:qFormat/>
    <w:pPr>
      <w:widowControl w:val="0"/>
    </w:pPr>
    <w:rPr>
      <w:lang w:val="en-US"/>
    </w:rPr>
    <w:tblPr>
      <w:tblCellMar>
        <w:top w:w="0" w:type="dxa"/>
        <w:left w:w="0" w:type="dxa"/>
        <w:bottom w:w="0" w:type="dxa"/>
        <w:right w:w="0" w:type="dxa"/>
      </w:tblCellMar>
    </w:tblPr>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jc w:val="both"/>
    </w:pPr>
    <w:rPr>
      <w:rFonts w:ascii="Tms Rmn" w:eastAsia="Times New Roman" w:hAnsi="Tms Rmn"/>
      <w:sz w:val="24"/>
      <w:szCs w:val="20"/>
      <w:lang w:eastAsia="ar-SA"/>
    </w:rPr>
  </w:style>
  <w:style w:type="character" w:styleId="Refdecomentrio">
    <w:name w:val="annotation reference"/>
    <w:rPr>
      <w:sz w:val="16"/>
      <w:szCs w:val="16"/>
    </w:rPr>
  </w:style>
  <w:style w:type="paragraph" w:styleId="Textodecomentrio">
    <w:name w:val="annotation text"/>
    <w:basedOn w:val="Normal"/>
    <w:link w:val="TextodecomentrioChar"/>
    <w:rPr>
      <w:rFonts w:ascii="Times New Roman" w:eastAsia="Times New Roman" w:hAnsi="Times New Roman"/>
      <w:sz w:val="20"/>
      <w:szCs w:val="20"/>
    </w:rPr>
  </w:style>
  <w:style w:type="character" w:customStyle="1" w:styleId="TextodecomentrioChar">
    <w:name w:val="Texto de comentário Char"/>
    <w:basedOn w:val="Fontepargpadro"/>
    <w:link w:val="Textodecomentrio"/>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sz w:val="20"/>
      <w:szCs w:val="20"/>
      <w:lang w:eastAsia="pt-BR"/>
    </w:rPr>
  </w:style>
  <w:style w:type="paragraph" w:customStyle="1" w:styleId="xl27">
    <w:name w:val="xl27"/>
    <w:basedOn w:val="Normal"/>
    <w:pPr>
      <w:spacing w:before="100" w:beforeAutospacing="1" w:after="100" w:afterAutospacing="1"/>
      <w:jc w:val="center"/>
    </w:pPr>
    <w:rPr>
      <w:rFonts w:ascii="Arial" w:eastAsia="Arial Unicode MS" w:hAnsi="Arial"/>
      <w:sz w:val="24"/>
      <w:szCs w:val="24"/>
    </w:rPr>
  </w:style>
  <w:style w:type="paragraph" w:styleId="CitaoIntensa">
    <w:name w:val="Intense Quote"/>
    <w:basedOn w:val="Normal"/>
    <w:next w:val="Normal"/>
    <w:link w:val="CitaoIntensaChar"/>
    <w:uiPriority w:val="30"/>
    <w:qFormat/>
    <w:pPr>
      <w:pBdr>
        <w:bottom w:val="single" w:sz="4" w:space="4" w:color="4F81BD"/>
      </w:pBdr>
      <w:spacing w:before="200" w:after="280"/>
      <w:ind w:left="936" w:right="936"/>
    </w:pPr>
    <w:rPr>
      <w:rFonts w:ascii="Times New Roman" w:eastAsia="Times New Roman" w:hAnsi="Times New Roman"/>
      <w:b/>
      <w:bCs/>
      <w:i/>
      <w:iCs/>
      <w:color w:val="4F81BD"/>
      <w:sz w:val="20"/>
      <w:szCs w:val="20"/>
    </w:rPr>
  </w:style>
  <w:style w:type="character" w:customStyle="1" w:styleId="CitaoIntensaChar">
    <w:name w:val="Citação Intensa Char"/>
    <w:basedOn w:val="Fontepargpadro"/>
    <w:link w:val="CitaoIntensa"/>
    <w:uiPriority w:val="30"/>
    <w:rPr>
      <w:rFonts w:ascii="Times New Roman" w:eastAsia="Times New Roman" w:hAnsi="Times New Roman" w:cs="Times New Roman"/>
      <w:b/>
      <w:bCs/>
      <w:i/>
      <w:iCs/>
      <w:color w:val="4F81BD"/>
      <w:sz w:val="20"/>
      <w:szCs w:val="20"/>
    </w:rPr>
  </w:style>
  <w:style w:type="paragraph" w:customStyle="1" w:styleId="font5">
    <w:name w:val="font5"/>
    <w:basedOn w:val="Normal"/>
    <w:pPr>
      <w:spacing w:before="100" w:beforeAutospacing="1" w:after="100" w:afterAutospacing="1"/>
    </w:pPr>
    <w:rPr>
      <w:rFonts w:eastAsia="Times New Roman"/>
      <w:color w:val="000000"/>
      <w:sz w:val="18"/>
      <w:szCs w:val="18"/>
    </w:rPr>
  </w:style>
  <w:style w:type="paragraph" w:customStyle="1" w:styleId="font6">
    <w:name w:val="font6"/>
    <w:basedOn w:val="Normal"/>
    <w:pPr>
      <w:spacing w:before="100" w:beforeAutospacing="1" w:after="100" w:afterAutospacing="1"/>
    </w:pPr>
    <w:rPr>
      <w:rFonts w:eastAsia="Times New Roman"/>
      <w:color w:val="000000"/>
      <w:sz w:val="18"/>
      <w:szCs w:val="18"/>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olor w:val="000000"/>
      <w:sz w:val="18"/>
      <w:szCs w:val="18"/>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jc w:val="both"/>
      <w:textAlignment w:val="center"/>
    </w:pPr>
    <w:rPr>
      <w:rFonts w:ascii="Times New Roman" w:eastAsia="Times New Roman" w:hAnsi="Times New Roman"/>
      <w:color w:val="000000"/>
      <w:sz w:val="18"/>
      <w:szCs w:val="18"/>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FF0000"/>
      <w:sz w:val="18"/>
      <w:szCs w:val="18"/>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4">
    <w:name w:val="xl74"/>
    <w:basedOn w:val="Normal"/>
    <w:pPr>
      <w:pBdr>
        <w:top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line="260" w:lineRule="exact"/>
    </w:pPr>
    <w:rPr>
      <w:rFonts w:ascii="Arial" w:eastAsia="Times New Roman" w:hAnsi="Arial" w:cs="Arial"/>
      <w:sz w:val="20"/>
      <w:szCs w:val="24"/>
    </w:rPr>
  </w:style>
  <w:style w:type="character" w:customStyle="1" w:styleId="SemEspaamentoChar">
    <w:name w:val="Sem Espaçamento Char"/>
    <w:link w:val="SemEspaamento"/>
    <w:uiPriority w:val="1"/>
    <w:rPr>
      <w:rFonts w:ascii="Calibri" w:eastAsia="Times New Roman" w:hAnsi="Calibri" w:cs="Times New Roman"/>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pPr>
    <w:rPr>
      <w:rFonts w:ascii="Arial" w:eastAsia="Lucida Sans Unicode" w:hAnsi="Arial" w:cs="Tahoma"/>
      <w:sz w:val="28"/>
      <w:szCs w:val="28"/>
      <w:lang w:eastAsia="ar-SA"/>
    </w:rPr>
  </w:style>
  <w:style w:type="paragraph" w:styleId="Legenda">
    <w:name w:val="caption"/>
    <w:basedOn w:val="Normal"/>
    <w:qFormat/>
    <w:pPr>
      <w:suppressLineNumbers/>
      <w:suppressAutoHyphens/>
      <w:spacing w:before="120" w:after="120"/>
    </w:pPr>
    <w:rPr>
      <w:rFonts w:ascii="Times New Roman" w:eastAsia="Times New Roman" w:hAnsi="Times New Roman" w:cs="Tahoma"/>
      <w:i/>
      <w:iCs/>
      <w:sz w:val="24"/>
      <w:szCs w:val="24"/>
      <w:lang w:eastAsia="ar-SA"/>
    </w:rPr>
  </w:style>
  <w:style w:type="paragraph" w:customStyle="1" w:styleId="ndice">
    <w:name w:val="Índice"/>
    <w:basedOn w:val="Normal"/>
    <w:pPr>
      <w:suppressLineNumbers/>
      <w:suppressAutoHyphens/>
    </w:pPr>
    <w:rPr>
      <w:rFonts w:ascii="Times New Roman" w:eastAsia="Times New Roman" w:hAnsi="Times New Roman" w:cs="Tahoma"/>
      <w:sz w:val="20"/>
      <w:szCs w:val="20"/>
      <w:lang w:eastAsia="ar-SA"/>
    </w:rPr>
  </w:style>
  <w:style w:type="paragraph" w:customStyle="1" w:styleId="Captulo">
    <w:name w:val="Capítulo"/>
    <w:basedOn w:val="Normal"/>
    <w:next w:val="Corpodetexto"/>
    <w:pPr>
      <w:keepNext/>
      <w:suppressAutoHyphens/>
      <w:spacing w:before="240" w:after="120"/>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pPr>
    <w:rPr>
      <w:rFonts w:ascii="Arial" w:eastAsia="Arial Unicode MS" w:hAnsi="Arial" w:cs="Mangal"/>
      <w:sz w:val="28"/>
      <w:szCs w:val="28"/>
      <w:lang w:eastAsia="ar-SA"/>
    </w:rPr>
  </w:style>
  <w:style w:type="paragraph" w:customStyle="1" w:styleId="Legenda1">
    <w:name w:val="Legenda1"/>
    <w:basedOn w:val="Normal"/>
    <w:next w:val="Normal"/>
    <w:pPr>
      <w:suppressAutoHyphens/>
      <w:jc w:val="center"/>
    </w:pPr>
    <w:rPr>
      <w:rFonts w:ascii="Arial" w:eastAsia="Times New Roman" w:hAnsi="Arial" w:cs="Arial"/>
      <w:sz w:val="28"/>
      <w:szCs w:val="20"/>
      <w:lang w:eastAsia="ar-SA"/>
    </w:rPr>
  </w:style>
  <w:style w:type="paragraph" w:customStyle="1" w:styleId="Contedodetabela">
    <w:name w:val="Conteúdo de tabela"/>
    <w:basedOn w:val="Normal"/>
    <w:pPr>
      <w:suppressLineNumbers/>
      <w:suppressAutoHyphens/>
    </w:pPr>
    <w:rPr>
      <w:rFonts w:ascii="Times New Roman" w:eastAsia="Times New Roman" w:hAnsi="Times New Roman"/>
      <w:sz w:val="20"/>
      <w:szCs w:val="20"/>
      <w:lang w:eastAsia="ar-SA"/>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jc w:val="both"/>
      <w:textAlignment w:val="baseline"/>
    </w:pPr>
    <w:rPr>
      <w:rFonts w:ascii="Arial" w:eastAsia="Times New Roman" w:hAnsi="Arial"/>
      <w:spacing w:val="-3"/>
      <w:sz w:val="24"/>
      <w:szCs w:val="20"/>
      <w:lang w:val="en-US"/>
    </w:rPr>
  </w:style>
  <w:style w:type="paragraph" w:customStyle="1" w:styleId="PargrafodaLista1">
    <w:name w:val="Parágrafo da Lista1"/>
    <w:basedOn w:val="Normal"/>
    <w:pPr>
      <w:spacing w:after="200" w:line="276" w:lineRule="auto"/>
      <w:ind w:left="720"/>
    </w:pPr>
    <w:rPr>
      <w:rFonts w:eastAsia="Times New Roman"/>
    </w:rPr>
  </w:style>
  <w:style w:type="paragraph" w:customStyle="1" w:styleId="font7">
    <w:name w:val="font7"/>
    <w:basedOn w:val="Normal"/>
    <w:pPr>
      <w:spacing w:before="100" w:beforeAutospacing="1" w:after="100" w:afterAutospacing="1"/>
    </w:pPr>
    <w:rPr>
      <w:rFonts w:eastAsia="Times New Roman" w:cs="Calibri"/>
      <w:b/>
      <w:bCs/>
      <w:sz w:val="20"/>
      <w:szCs w:val="20"/>
      <w:u w:val="single"/>
    </w:rPr>
  </w:style>
  <w:style w:type="paragraph" w:customStyle="1" w:styleId="font8">
    <w:name w:val="font8"/>
    <w:basedOn w:val="Normal"/>
    <w:pPr>
      <w:spacing w:before="100" w:beforeAutospacing="1" w:after="100" w:afterAutospacing="1"/>
    </w:pPr>
    <w:rPr>
      <w:rFonts w:eastAsia="Times New Roman" w:cs="Calibri"/>
      <w:b/>
      <w:bCs/>
      <w:sz w:val="20"/>
      <w:szCs w:val="20"/>
    </w:rPr>
  </w:style>
  <w:style w:type="paragraph" w:customStyle="1" w:styleId="font9">
    <w:name w:val="font9"/>
    <w:basedOn w:val="Normal"/>
    <w:pPr>
      <w:spacing w:before="100" w:beforeAutospacing="1" w:after="100" w:afterAutospacing="1"/>
    </w:pPr>
    <w:rPr>
      <w:rFonts w:eastAsia="Times New Roman" w:cs="Calibri"/>
      <w:sz w:val="20"/>
      <w:szCs w:val="20"/>
      <w:u w:val="single"/>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sz w:val="20"/>
      <w:szCs w:val="20"/>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0">
    <w:name w:val="xl90"/>
    <w:basedOn w:val="Normal"/>
    <w:pPr>
      <w:pBdr>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1">
    <w:name w:val="xl91"/>
    <w:basedOn w:val="Normal"/>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95">
    <w:name w:val="xl95"/>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6">
    <w:name w:val="xl96"/>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7">
    <w:name w:val="xl97"/>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8">
    <w:name w:val="xl98"/>
    <w:basedOn w:val="Normal"/>
    <w:pP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rPr>
  </w:style>
  <w:style w:type="paragraph" w:customStyle="1" w:styleId="xl101">
    <w:name w:val="xl101"/>
    <w:basedOn w:val="Normal"/>
    <w:pPr>
      <w:spacing w:before="100" w:beforeAutospacing="1" w:after="100" w:afterAutospacing="1"/>
      <w:jc w:val="center"/>
    </w:pPr>
    <w:rPr>
      <w:rFonts w:ascii="Times New Roman" w:eastAsia="Times New Roman" w:hAnsi="Times New Roman"/>
      <w:color w:val="FF0000"/>
      <w:sz w:val="20"/>
      <w:szCs w:val="20"/>
    </w:rPr>
  </w:style>
  <w:style w:type="paragraph" w:customStyle="1" w:styleId="xl102">
    <w:name w:val="xl102"/>
    <w:basedOn w:val="Normal"/>
    <w:pPr>
      <w:spacing w:before="100" w:beforeAutospacing="1" w:after="100" w:afterAutospacing="1"/>
      <w:jc w:val="both"/>
      <w:textAlignment w:val="center"/>
    </w:pPr>
    <w:rPr>
      <w:rFonts w:ascii="Times New Roman" w:eastAsia="Times New Roman" w:hAnsi="Times New Roman"/>
      <w:color w:val="FF0000"/>
      <w:sz w:val="20"/>
      <w:szCs w:val="20"/>
    </w:rPr>
  </w:style>
  <w:style w:type="paragraph" w:customStyle="1" w:styleId="xl103">
    <w:name w:val="xl103"/>
    <w:basedOn w:val="Normal"/>
    <w:pPr>
      <w:spacing w:before="100" w:beforeAutospacing="1" w:after="100" w:afterAutospacing="1"/>
      <w:jc w:val="center"/>
    </w:pPr>
    <w:rPr>
      <w:rFonts w:ascii="Times New Roman" w:eastAsia="Times New Roman" w:hAnsi="Times New Roman"/>
      <w:color w:val="FF0000"/>
      <w:sz w:val="20"/>
      <w:szCs w:val="20"/>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6">
    <w:name w:val="xl106"/>
    <w:basedOn w:val="Normal"/>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u w:val="single"/>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10">
    <w:name w:val="xl110"/>
    <w:basedOn w:val="Normal"/>
    <w:pPr>
      <w:spacing w:before="100" w:beforeAutospacing="1" w:after="100" w:afterAutospacing="1"/>
      <w:jc w:val="center"/>
    </w:pPr>
    <w:rPr>
      <w:rFonts w:ascii="Times New Roman" w:eastAsia="Times New Roman" w:hAnsi="Times New Roman"/>
      <w:sz w:val="20"/>
      <w:szCs w:val="20"/>
    </w:rPr>
  </w:style>
  <w:style w:type="paragraph" w:customStyle="1" w:styleId="xl111">
    <w:name w:val="xl111"/>
    <w:basedOn w:val="Normal"/>
    <w:pPr>
      <w:spacing w:before="100" w:beforeAutospacing="1" w:after="100" w:afterAutospacing="1"/>
      <w:jc w:val="both"/>
      <w:textAlignment w:val="center"/>
    </w:pPr>
    <w:rPr>
      <w:rFonts w:ascii="Times New Roman" w:eastAsia="Times New Roman" w:hAnsi="Times New Roman"/>
      <w:sz w:val="20"/>
      <w:szCs w:val="20"/>
    </w:rPr>
  </w:style>
  <w:style w:type="paragraph" w:customStyle="1" w:styleId="xl112">
    <w:name w:val="xl112"/>
    <w:basedOn w:val="Normal"/>
    <w:pPr>
      <w:spacing w:before="100" w:beforeAutospacing="1" w:after="100" w:afterAutospacing="1"/>
    </w:pPr>
    <w:rPr>
      <w:rFonts w:ascii="Times New Roman" w:eastAsia="Times New Roman" w:hAnsi="Times New Roman"/>
      <w:sz w:val="20"/>
      <w:szCs w:val="20"/>
    </w:rPr>
  </w:style>
  <w:style w:type="paragraph" w:customStyle="1" w:styleId="xl113">
    <w:name w:val="xl113"/>
    <w:basedOn w:val="Normal"/>
    <w:pPr>
      <w:spacing w:before="100" w:beforeAutospacing="1" w:after="100" w:afterAutospacing="1"/>
    </w:pPr>
    <w:rPr>
      <w:rFonts w:ascii="Times New Roman" w:eastAsia="Times New Roman" w:hAnsi="Times New Roman"/>
      <w:b/>
      <w:bCs/>
      <w:sz w:val="20"/>
      <w:szCs w:val="20"/>
    </w:rPr>
  </w:style>
  <w:style w:type="paragraph" w:customStyle="1" w:styleId="xl114">
    <w:name w:val="xl114"/>
    <w:basedOn w:val="Normal"/>
    <w:pPr>
      <w:spacing w:before="100" w:beforeAutospacing="1" w:after="100" w:afterAutospacing="1"/>
      <w:jc w:val="center"/>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rPr>
  </w:style>
  <w:style w:type="paragraph" w:customStyle="1" w:styleId="xl116">
    <w:name w:val="xl116"/>
    <w:basedOn w:val="Normal"/>
    <w:pPr>
      <w:spacing w:before="100" w:beforeAutospacing="1" w:after="100" w:afterAutospacing="1"/>
      <w:jc w:val="center"/>
    </w:pPr>
    <w:rPr>
      <w:rFonts w:ascii="Times New Roman" w:eastAsia="Times New Roman" w:hAnsi="Times New Roman"/>
      <w:b/>
      <w:bCs/>
      <w:sz w:val="20"/>
      <w:szCs w:val="20"/>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sz w:val="20"/>
      <w:szCs w:val="20"/>
      <w:u w:val="single"/>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u w:val="single"/>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rPr>
  </w:style>
  <w:style w:type="paragraph" w:customStyle="1" w:styleId="xl120">
    <w:name w:val="xl120"/>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1">
    <w:name w:val="xl121"/>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2">
    <w:name w:val="xl122"/>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3">
    <w:name w:val="xl123"/>
    <w:basedOn w:val="Normal"/>
    <w:pP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0"/>
      <w:szCs w:val="20"/>
      <w:u w:val="single"/>
    </w:rPr>
  </w:style>
  <w:style w:type="paragraph" w:customStyle="1" w:styleId="xl126">
    <w:name w:val="xl126"/>
    <w:basedOn w:val="Normal"/>
    <w:pPr>
      <w:spacing w:before="100" w:beforeAutospacing="1" w:after="100" w:afterAutospacing="1"/>
    </w:pPr>
    <w:rPr>
      <w:rFonts w:ascii="Times New Roman" w:eastAsia="Times New Roman" w:hAnsi="Times New Roman"/>
      <w:color w:val="FF0000"/>
      <w:sz w:val="20"/>
      <w:szCs w:val="20"/>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u w:val="single"/>
    </w:rPr>
  </w:style>
  <w:style w:type="table" w:customStyle="1" w:styleId="Tabelacomgrade1">
    <w:name w:val="Tabela com grade1"/>
    <w:basedOn w:val="Tabelanormal"/>
    <w:next w:val="Tabelacomgrade"/>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Tahoma"/>
      <w:i/>
      <w:iCs/>
      <w:color w:val="000000"/>
      <w:sz w:val="20"/>
      <w:szCs w:val="24"/>
    </w:rPr>
  </w:style>
  <w:style w:type="character" w:customStyle="1" w:styleId="CitaoChar">
    <w:name w:val="Citação Char"/>
    <w:basedOn w:val="Fontepargpadro"/>
    <w:link w:val="Citao"/>
    <w:rPr>
      <w:rFonts w:ascii="Arial" w:eastAsia="Calibri" w:hAnsi="Arial" w:cs="Tahoma"/>
      <w:i/>
      <w:iCs/>
      <w:color w:val="000000"/>
      <w:sz w:val="20"/>
      <w:szCs w:val="24"/>
      <w:shd w:val="clear" w:color="auto" w:fill="FFFFCC"/>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Lines/>
      <w:spacing w:before="240" w:line="259" w:lineRule="auto"/>
      <w:outlineLvl w:val="9"/>
    </w:pPr>
    <w:rPr>
      <w:rFonts w:asciiTheme="majorHAnsi" w:eastAsiaTheme="majorEastAsia" w:hAnsiTheme="majorHAnsi" w:cstheme="majorBidi"/>
      <w:color w:val="365F91" w:themeColor="accent1" w:themeShade="BF"/>
      <w:sz w:val="32"/>
      <w:szCs w:val="32"/>
      <w:lang w:eastAsia="pt-BR"/>
    </w:rPr>
  </w:style>
  <w:style w:type="paragraph" w:styleId="Sumrio1">
    <w:name w:val="toc 1"/>
    <w:basedOn w:val="Normal"/>
    <w:next w:val="Normal"/>
    <w:autoRedefine/>
    <w:uiPriority w:val="39"/>
    <w:unhideWhenUsed/>
    <w:pPr>
      <w:spacing w:after="100"/>
    </w:pPr>
    <w:rPr>
      <w:rFonts w:ascii="Arial" w:hAnsi="Arial"/>
      <w:b/>
    </w:rPr>
  </w:style>
  <w:style w:type="character" w:customStyle="1" w:styleId="MenoPendente5">
    <w:name w:val="Menção Pendente5"/>
    <w:basedOn w:val="Fontepargpadro"/>
    <w:uiPriority w:val="99"/>
    <w:semiHidden/>
    <w:unhideWhenUsed/>
    <w:rPr>
      <w:color w:val="605E5C"/>
      <w:shd w:val="clear" w:color="auto" w:fill="E1DFDD"/>
    </w:rPr>
  </w:style>
  <w:style w:type="character" w:customStyle="1" w:styleId="PargrafodaListaChar">
    <w:name w:val="Parágrafo da Lista Char"/>
    <w:basedOn w:val="Fontepargpadro"/>
    <w:link w:val="PargrafodaLista"/>
    <w:uiPriority w:val="34"/>
    <w:rPr>
      <w:rFonts w:ascii="Times New Roman" w:eastAsia="Times New Roman" w:hAnsi="Times New Roman" w:cs="Times New Roman"/>
      <w:sz w:val="20"/>
      <w:szCs w:val="20"/>
      <w:lang w:eastAsia="ar-SA"/>
    </w:rPr>
  </w:style>
  <w:style w:type="table" w:customStyle="1" w:styleId="a">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3">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4">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5">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6">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7">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8">
    <w:basedOn w:val="TableNormal0"/>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70" w:type="dxa"/>
        <w:bottom w:w="0" w:type="dxa"/>
        <w:right w:w="70" w:type="dxa"/>
      </w:tblCellMar>
    </w:tblPr>
  </w:style>
  <w:style w:type="table" w:customStyle="1" w:styleId="aa">
    <w:basedOn w:val="TableNormal0"/>
    <w:tblPr>
      <w:tblStyleRowBandSize w:val="1"/>
      <w:tblStyleColBandSize w:val="1"/>
      <w:tblCellMar>
        <w:top w:w="0" w:type="dxa"/>
        <w:left w:w="70" w:type="dxa"/>
        <w:bottom w:w="0" w:type="dxa"/>
        <w:right w:w="70"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paragraph" w:customStyle="1" w:styleId="Nivel01">
    <w:name w:val="Nivel 01"/>
    <w:basedOn w:val="Ttulo1"/>
    <w:next w:val="Normal"/>
    <w:qFormat/>
    <w:pPr>
      <w:keepNext/>
      <w:keepLines/>
      <w:numPr>
        <w:numId w:val="31"/>
      </w:numPr>
      <w:tabs>
        <w:tab w:val="clear" w:pos="284"/>
        <w:tab w:val="num" w:pos="360"/>
        <w:tab w:val="left" w:pos="567"/>
      </w:tabs>
      <w:suppressAutoHyphens w:val="0"/>
      <w:spacing w:before="240"/>
      <w:ind w:left="0" w:firstLine="0"/>
      <w:contextualSpacing w:val="0"/>
    </w:pPr>
    <w:rPr>
      <w:rFonts w:eastAsiaTheme="majorEastAsia"/>
      <w:sz w:val="20"/>
      <w:szCs w:val="20"/>
      <w:lang w:eastAsia="pt-BR"/>
    </w:rPr>
  </w:style>
  <w:style w:type="paragraph" w:customStyle="1" w:styleId="Nivel2">
    <w:name w:val="Nivel 2"/>
    <w:basedOn w:val="Normal"/>
    <w:link w:val="Nivel2Char"/>
    <w:qFormat/>
    <w:pPr>
      <w:numPr>
        <w:ilvl w:val="1"/>
        <w:numId w:val="31"/>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qFormat/>
    <w:pPr>
      <w:numPr>
        <w:ilvl w:val="2"/>
        <w:numId w:val="31"/>
      </w:numPr>
      <w:spacing w:before="120" w:after="120" w:line="276" w:lineRule="auto"/>
      <w:ind w:left="425" w:firstLine="0"/>
      <w:jc w:val="both"/>
    </w:pPr>
    <w:rPr>
      <w:rFonts w:ascii="Arial" w:eastAsiaTheme="minorEastAsia" w:hAnsi="Arial" w:cs="Arial"/>
      <w:color w:val="000000"/>
      <w:sz w:val="20"/>
      <w:szCs w:val="20"/>
    </w:rPr>
  </w:style>
  <w:style w:type="paragraph" w:customStyle="1" w:styleId="Nivel4">
    <w:name w:val="Nivel 4"/>
    <w:basedOn w:val="Nivel3"/>
    <w:qFormat/>
    <w:pPr>
      <w:numPr>
        <w:ilvl w:val="3"/>
      </w:numPr>
      <w:ind w:left="851" w:firstLine="0"/>
    </w:pPr>
    <w:rPr>
      <w:color w:val="auto"/>
    </w:rPr>
  </w:style>
  <w:style w:type="paragraph" w:customStyle="1" w:styleId="Nivel5">
    <w:name w:val="Nivel 5"/>
    <w:basedOn w:val="Nivel4"/>
    <w:qFormat/>
    <w:pPr>
      <w:numPr>
        <w:ilvl w:val="4"/>
      </w:numPr>
      <w:ind w:left="1276" w:firstLine="0"/>
    </w:pPr>
  </w:style>
  <w:style w:type="character" w:customStyle="1" w:styleId="Nivel2Char">
    <w:name w:val="Nivel 2 Char"/>
    <w:basedOn w:val="Fontepargpadro"/>
    <w:link w:val="Nivel2"/>
    <w:locked/>
    <w:rPr>
      <w:rFonts w:ascii="Arial" w:eastAsiaTheme="minorEastAsia"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8078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25art159"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planalto.gov.br/ccivil_03/_ato2011-2014/2013/lei/l12846.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comprasgov.com.br" TargetMode="External"/><Relationship Id="rId5" Type="http://schemas.openxmlformats.org/officeDocument/2006/relationships/webSettings" Target="webSetting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1-2014/2013/lei/l12846.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theme" Target="theme/theme1.xml"/><Relationship Id="rId10" Type="http://schemas.openxmlformats.org/officeDocument/2006/relationships/hyperlink" Target="http://municipios.tce.ce.gov.br/transparencia/"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Constituicao/Constituicao.ht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fontTable" Target="fontTable.xm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0KEv/ltpbmwvGfzkOyjmkuWWL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4AHIhMU9vVE50Y2ZBeHRwR0ZlUU8wTVFvb0RFWWNlWURLRS1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67</Pages>
  <Words>30425</Words>
  <Characters>164298</Characters>
  <Application>Microsoft Office Word</Application>
  <DocSecurity>0</DocSecurity>
  <Lines>1369</Lines>
  <Paragraphs>388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194335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Júnior Rodrigues</dc:creator>
  <cp:lastModifiedBy>ADMIN</cp:lastModifiedBy>
  <cp:revision>43</cp:revision>
  <dcterms:created xsi:type="dcterms:W3CDTF">2022-07-20T14:59:00Z</dcterms:created>
  <dcterms:modified xsi:type="dcterms:W3CDTF">2025-07-09T14:45:00Z</dcterms:modified>
</cp:coreProperties>
</file>